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D7E75" w14:textId="162DD7CE" w:rsidR="003A1A89" w:rsidRPr="003A1A89" w:rsidRDefault="008436EE" w:rsidP="00F64992">
      <w:pPr>
        <w:pStyle w:val="MainText"/>
        <w:rPr>
          <w:rFonts w:ascii="Arial" w:hAnsi="Arial" w:cs="Arial"/>
          <w:b/>
          <w:bCs/>
          <w:sz w:val="28"/>
          <w:szCs w:val="28"/>
        </w:rPr>
      </w:pPr>
      <w:r>
        <w:rPr>
          <w:rFonts w:ascii="Arial" w:hAnsi="Arial" w:cs="Arial"/>
          <w:b/>
          <w:bCs/>
          <w:sz w:val="28"/>
          <w:szCs w:val="28"/>
        </w:rPr>
        <w:t>Local Government F</w:t>
      </w:r>
      <w:r w:rsidR="003A1A89" w:rsidRPr="003A1A89">
        <w:rPr>
          <w:rFonts w:ascii="Arial" w:hAnsi="Arial" w:cs="Arial"/>
          <w:b/>
          <w:bCs/>
          <w:sz w:val="28"/>
          <w:szCs w:val="28"/>
        </w:rPr>
        <w:t>i</w:t>
      </w:r>
      <w:r>
        <w:rPr>
          <w:rFonts w:ascii="Arial" w:hAnsi="Arial" w:cs="Arial"/>
          <w:b/>
          <w:bCs/>
          <w:sz w:val="28"/>
          <w:szCs w:val="28"/>
        </w:rPr>
        <w:t>nance Settlement 2019 to 2020: Technical C</w:t>
      </w:r>
      <w:r w:rsidR="003A1A89" w:rsidRPr="003A1A89">
        <w:rPr>
          <w:rFonts w:ascii="Arial" w:hAnsi="Arial" w:cs="Arial"/>
          <w:b/>
          <w:bCs/>
          <w:sz w:val="28"/>
          <w:szCs w:val="28"/>
        </w:rPr>
        <w:t>onsultation</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B50786C" w:rsidP="0B50786C">
      <w:pPr>
        <w:pStyle w:val="MainText"/>
        <w:spacing w:line="240" w:lineRule="auto"/>
        <w:jc w:val="both"/>
        <w:rPr>
          <w:rFonts w:ascii="Arial" w:hAnsi="Arial" w:cs="Arial"/>
          <w:b/>
          <w:bCs/>
        </w:rPr>
      </w:pPr>
      <w:r w:rsidRPr="0B50786C">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7F5A1A29"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E16DFA">
        <w:rPr>
          <w:rFonts w:ascii="Arial" w:hAnsi="Arial" w:cs="Arial"/>
        </w:rPr>
        <w:t>comment</w:t>
      </w:r>
      <w:r w:rsidR="003A1A89">
        <w:rPr>
          <w:rFonts w:ascii="Arial" w:hAnsi="Arial" w:cs="Arial"/>
        </w:rPr>
        <w:t xml:space="preserve"> and agreement</w:t>
      </w:r>
      <w:r w:rsidR="00301EED">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0B14F124" w14:textId="522F4C90" w:rsidR="0010744B" w:rsidRPr="00F64992" w:rsidRDefault="0B50786C" w:rsidP="0010744B">
      <w:pPr>
        <w:pStyle w:val="paragraph"/>
        <w:textAlignment w:val="baseline"/>
        <w:rPr>
          <w:sz w:val="22"/>
          <w:szCs w:val="22"/>
          <w:lang w:val="en-US"/>
        </w:rPr>
      </w:pPr>
      <w:r w:rsidRPr="00F64992">
        <w:rPr>
          <w:rFonts w:ascii="Arial" w:hAnsi="Arial" w:cs="Arial"/>
          <w:sz w:val="22"/>
          <w:szCs w:val="22"/>
        </w:rPr>
        <w:t xml:space="preserve">This report </w:t>
      </w:r>
      <w:r w:rsidR="0010744B" w:rsidRPr="00F64992">
        <w:rPr>
          <w:rFonts w:ascii="Arial" w:hAnsi="Arial" w:cs="Arial"/>
          <w:sz w:val="22"/>
          <w:szCs w:val="22"/>
        </w:rPr>
        <w:t>sets out the key points in the Government’s technical consultation on the 2019/20 local government finance settlement and asks members for views on the LGA’s draft response.</w:t>
      </w:r>
    </w:p>
    <w:p w14:paraId="3E83226D" w14:textId="1A98EE15" w:rsidR="00992E96" w:rsidRPr="0010744B" w:rsidRDefault="00992E96" w:rsidP="007977F7">
      <w:pPr>
        <w:pStyle w:val="MainText"/>
        <w:spacing w:line="240" w:lineRule="auto"/>
        <w:jc w:val="both"/>
        <w:rPr>
          <w:rFonts w:ascii="Arial" w:hAnsi="Arial" w:cs="Arial"/>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08436EE">
            <w:pPr>
              <w:pStyle w:val="MainText"/>
              <w:spacing w:line="240" w:lineRule="auto"/>
              <w:rPr>
                <w:rFonts w:ascii="Arial" w:hAnsi="Arial" w:cs="Arial"/>
                <w:b/>
                <w:bCs/>
              </w:rPr>
            </w:pPr>
            <w:r w:rsidRPr="0B50786C">
              <w:rPr>
                <w:rFonts w:ascii="Arial" w:hAnsi="Arial" w:cs="Arial"/>
                <w:b/>
                <w:bCs/>
              </w:rPr>
              <w:t>Recommendation</w:t>
            </w:r>
          </w:p>
          <w:p w14:paraId="3E832271" w14:textId="77777777" w:rsidR="00992E96" w:rsidRPr="0021114E" w:rsidRDefault="00992E96" w:rsidP="008436EE">
            <w:pPr>
              <w:pStyle w:val="MainText"/>
              <w:spacing w:line="240" w:lineRule="auto"/>
              <w:rPr>
                <w:rFonts w:ascii="Arial" w:hAnsi="Arial" w:cs="Arial"/>
                <w:szCs w:val="22"/>
              </w:rPr>
            </w:pPr>
          </w:p>
          <w:p w14:paraId="46EE5C14" w14:textId="58A0240E" w:rsidR="00793A69" w:rsidRPr="00830194" w:rsidRDefault="0B50786C" w:rsidP="008436EE">
            <w:pPr>
              <w:pStyle w:val="MainText"/>
              <w:spacing w:line="240" w:lineRule="auto"/>
              <w:rPr>
                <w:rFonts w:ascii="Arial" w:hAnsi="Arial" w:cs="Arial"/>
              </w:rPr>
            </w:pPr>
            <w:r w:rsidRPr="00830194">
              <w:rPr>
                <w:rFonts w:ascii="Arial" w:hAnsi="Arial" w:cs="Arial"/>
              </w:rPr>
              <w:t>That members</w:t>
            </w:r>
            <w:r w:rsidR="00D91E1D" w:rsidRPr="00830194">
              <w:rPr>
                <w:rFonts w:ascii="Arial" w:hAnsi="Arial" w:cs="Arial"/>
              </w:rPr>
              <w:t xml:space="preserve"> of the </w:t>
            </w:r>
            <w:r w:rsidR="00D91E1D" w:rsidRPr="00C55B96">
              <w:rPr>
                <w:rFonts w:ascii="Arial" w:hAnsi="Arial" w:cs="Arial"/>
              </w:rPr>
              <w:t xml:space="preserve">Leadership Board </w:t>
            </w:r>
            <w:r w:rsidR="00634398" w:rsidRPr="00830194">
              <w:rPr>
                <w:rFonts w:ascii="Arial" w:hAnsi="Arial" w:cs="Arial"/>
              </w:rPr>
              <w:t>comment</w:t>
            </w:r>
            <w:r w:rsidR="003A1A89">
              <w:rPr>
                <w:rFonts w:ascii="Arial" w:hAnsi="Arial" w:cs="Arial"/>
              </w:rPr>
              <w:t xml:space="preserve"> on</w:t>
            </w:r>
            <w:r w:rsidR="00634398" w:rsidRPr="00830194">
              <w:rPr>
                <w:rFonts w:ascii="Arial" w:hAnsi="Arial" w:cs="Arial"/>
              </w:rPr>
              <w:t xml:space="preserve"> </w:t>
            </w:r>
            <w:r w:rsidR="0010744B">
              <w:rPr>
                <w:rFonts w:ascii="Arial" w:hAnsi="Arial" w:cs="Arial"/>
              </w:rPr>
              <w:t xml:space="preserve">the draft response and </w:t>
            </w:r>
            <w:r w:rsidR="003A1A89">
              <w:rPr>
                <w:rFonts w:ascii="Arial" w:hAnsi="Arial" w:cs="Arial"/>
              </w:rPr>
              <w:t xml:space="preserve">agree to </w:t>
            </w:r>
            <w:r w:rsidR="0010744B">
              <w:rPr>
                <w:rFonts w:ascii="Arial" w:hAnsi="Arial" w:cs="Arial"/>
              </w:rPr>
              <w:t xml:space="preserve">it being forwarded </w:t>
            </w:r>
            <w:r w:rsidR="003A1A89">
              <w:rPr>
                <w:rFonts w:ascii="Arial" w:hAnsi="Arial" w:cs="Arial"/>
              </w:rPr>
              <w:t xml:space="preserve">to the </w:t>
            </w:r>
            <w:r w:rsidR="003A1A89">
              <w:rPr>
                <w:rFonts w:ascii="Arial" w:hAnsi="Arial" w:cs="Arial"/>
                <w:szCs w:val="22"/>
              </w:rPr>
              <w:t>Ministry of Housing</w:t>
            </w:r>
            <w:r w:rsidR="00D17436">
              <w:rPr>
                <w:rFonts w:ascii="Arial" w:hAnsi="Arial" w:cs="Arial"/>
                <w:szCs w:val="22"/>
              </w:rPr>
              <w:t>,</w:t>
            </w:r>
            <w:r w:rsidR="003A1A89">
              <w:rPr>
                <w:rFonts w:ascii="Arial" w:hAnsi="Arial" w:cs="Arial"/>
                <w:szCs w:val="22"/>
              </w:rPr>
              <w:t xml:space="preserve"> Communities and Local Government as the LGA’s response to the consultation</w:t>
            </w:r>
            <w:r w:rsidR="003A1A89" w:rsidRPr="00830194">
              <w:rPr>
                <w:rFonts w:ascii="Arial" w:hAnsi="Arial" w:cs="Arial"/>
                <w:szCs w:val="22"/>
              </w:rPr>
              <w:t>.</w:t>
            </w:r>
          </w:p>
          <w:p w14:paraId="21EC98E2" w14:textId="77777777" w:rsidR="00793A69" w:rsidRPr="00830194" w:rsidRDefault="00793A69" w:rsidP="008436EE">
            <w:pPr>
              <w:pStyle w:val="MainText"/>
              <w:spacing w:line="240" w:lineRule="auto"/>
              <w:rPr>
                <w:rFonts w:ascii="Arial" w:hAnsi="Arial" w:cs="Arial"/>
              </w:rPr>
            </w:pPr>
          </w:p>
          <w:p w14:paraId="3E832274" w14:textId="12422AAB" w:rsidR="00992E96" w:rsidRPr="00830194" w:rsidRDefault="0B50786C" w:rsidP="008436EE">
            <w:pPr>
              <w:pStyle w:val="MainText"/>
              <w:spacing w:line="240" w:lineRule="auto"/>
              <w:rPr>
                <w:rFonts w:ascii="Arial" w:hAnsi="Arial" w:cs="Arial"/>
                <w:b/>
                <w:bCs/>
              </w:rPr>
            </w:pPr>
            <w:r w:rsidRPr="00830194">
              <w:rPr>
                <w:rFonts w:ascii="Arial" w:hAnsi="Arial" w:cs="Arial"/>
                <w:b/>
                <w:bCs/>
              </w:rPr>
              <w:t>Action</w:t>
            </w:r>
          </w:p>
          <w:p w14:paraId="3E832275" w14:textId="77777777" w:rsidR="00992E96" w:rsidRPr="00830194" w:rsidRDefault="00992E96" w:rsidP="008436EE">
            <w:pPr>
              <w:pStyle w:val="MainText"/>
              <w:spacing w:line="240" w:lineRule="auto"/>
              <w:rPr>
                <w:rFonts w:ascii="Arial" w:hAnsi="Arial" w:cs="Arial"/>
                <w:b/>
                <w:szCs w:val="22"/>
              </w:rPr>
            </w:pPr>
          </w:p>
          <w:p w14:paraId="1CCE5E61" w14:textId="3EAA9B38" w:rsidR="00D91E1D" w:rsidRPr="003A1A89" w:rsidRDefault="00D91E1D" w:rsidP="008436EE">
            <w:pPr>
              <w:pStyle w:val="MainText"/>
              <w:spacing w:line="240" w:lineRule="auto"/>
              <w:rPr>
                <w:rFonts w:ascii="Arial" w:hAnsi="Arial" w:cs="Arial"/>
              </w:rPr>
            </w:pPr>
            <w:r w:rsidRPr="003A1A89">
              <w:rPr>
                <w:rFonts w:ascii="Arial" w:hAnsi="Arial" w:cs="Arial"/>
              </w:rPr>
              <w:t xml:space="preserve">Officers to </w:t>
            </w:r>
            <w:r w:rsidR="0010744B">
              <w:rPr>
                <w:rFonts w:ascii="Arial" w:hAnsi="Arial" w:cs="Arial"/>
              </w:rPr>
              <w:t xml:space="preserve">amend the draft in the light of comments made and </w:t>
            </w:r>
            <w:r w:rsidR="003A1A89" w:rsidRPr="003A1A89">
              <w:rPr>
                <w:rFonts w:ascii="Arial" w:hAnsi="Arial" w:cs="Arial"/>
              </w:rPr>
              <w:t>forward the finalised submission to MHCLG</w:t>
            </w:r>
            <w:r w:rsidR="00301EED">
              <w:rPr>
                <w:rFonts w:ascii="Arial" w:hAnsi="Arial" w:cs="Arial"/>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5A29966A" w:rsidR="00992E96" w:rsidRPr="00B27F61" w:rsidRDefault="003A1A89" w:rsidP="0B50786C">
            <w:pPr>
              <w:pStyle w:val="MainText"/>
              <w:spacing w:before="120" w:line="240" w:lineRule="auto"/>
              <w:jc w:val="both"/>
              <w:rPr>
                <w:rFonts w:ascii="Arial" w:hAnsi="Arial" w:cs="Arial"/>
                <w:sz w:val="22"/>
                <w:szCs w:val="22"/>
              </w:rPr>
            </w:pPr>
            <w:r>
              <w:rPr>
                <w:rFonts w:ascii="Arial" w:hAnsi="Arial" w:cs="Arial"/>
                <w:sz w:val="22"/>
                <w:szCs w:val="22"/>
              </w:rPr>
              <w:t>Mike Heiser</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1516131A" w:rsidR="00992E96" w:rsidRPr="00B27F61" w:rsidRDefault="003A1A89" w:rsidP="0B50786C">
            <w:pPr>
              <w:pStyle w:val="MainText"/>
              <w:spacing w:before="120" w:line="240" w:lineRule="auto"/>
              <w:jc w:val="both"/>
              <w:rPr>
                <w:rFonts w:ascii="Arial" w:hAnsi="Arial" w:cs="Arial"/>
                <w:sz w:val="22"/>
                <w:szCs w:val="22"/>
              </w:rPr>
            </w:pPr>
            <w:r>
              <w:rPr>
                <w:rFonts w:ascii="Arial" w:hAnsi="Arial" w:cs="Arial"/>
                <w:sz w:val="22"/>
                <w:szCs w:val="22"/>
              </w:rPr>
              <w:t>Senior Adviser (Finance)</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55D2FCE3" w:rsidR="00992E96" w:rsidRPr="00B27F61" w:rsidRDefault="00793A69" w:rsidP="003A1A89">
            <w:pPr>
              <w:pStyle w:val="MainText"/>
              <w:spacing w:before="120" w:line="240" w:lineRule="auto"/>
              <w:jc w:val="both"/>
              <w:rPr>
                <w:rFonts w:ascii="Arial" w:hAnsi="Arial" w:cs="Arial"/>
                <w:sz w:val="22"/>
                <w:szCs w:val="22"/>
              </w:rPr>
            </w:pPr>
            <w:r>
              <w:rPr>
                <w:rFonts w:ascii="Arial" w:hAnsi="Arial" w:cs="Arial"/>
                <w:sz w:val="22"/>
                <w:szCs w:val="22"/>
              </w:rPr>
              <w:t xml:space="preserve">020 7664 </w:t>
            </w:r>
            <w:r w:rsidR="003A1A89">
              <w:rPr>
                <w:rFonts w:ascii="Arial" w:hAnsi="Arial" w:cs="Arial"/>
                <w:sz w:val="22"/>
                <w:szCs w:val="22"/>
              </w:rPr>
              <w:t>3265</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2F3BC253" w14:textId="24E1F223" w:rsidR="003A1A89" w:rsidRPr="00CC0017" w:rsidRDefault="0007605D" w:rsidP="003A1A89">
            <w:pPr>
              <w:pStyle w:val="MainText"/>
              <w:spacing w:before="120" w:line="240" w:lineRule="auto"/>
              <w:jc w:val="both"/>
              <w:rPr>
                <w:rFonts w:ascii="Arial" w:hAnsi="Arial" w:cs="Arial"/>
                <w:sz w:val="22"/>
                <w:szCs w:val="22"/>
              </w:rPr>
            </w:pPr>
            <w:hyperlink r:id="rId11" w:history="1">
              <w:r w:rsidR="003A1A89" w:rsidRPr="00CC0017">
                <w:rPr>
                  <w:rStyle w:val="Hyperlink"/>
                  <w:rFonts w:ascii="Arial" w:hAnsi="Arial" w:cs="Arial"/>
                  <w:sz w:val="22"/>
                  <w:szCs w:val="22"/>
                </w:rPr>
                <w:t>mike.heiser@local.gov.uk</w:t>
              </w:r>
            </w:hyperlink>
          </w:p>
          <w:p w14:paraId="3E832285" w14:textId="1210F2B5" w:rsidR="00992E96" w:rsidRPr="00793A69" w:rsidRDefault="002048CA" w:rsidP="003A1A89">
            <w:pPr>
              <w:pStyle w:val="MainText"/>
              <w:spacing w:before="120" w:line="240" w:lineRule="auto"/>
              <w:jc w:val="both"/>
              <w:rPr>
                <w:rFonts w:ascii="Arial" w:hAnsi="Arial" w:cs="Arial"/>
                <w:sz w:val="22"/>
                <w:szCs w:val="22"/>
              </w:rPr>
            </w:pPr>
            <w:r w:rsidRPr="00793A69">
              <w:rPr>
                <w:rFonts w:ascii="Arial" w:hAnsi="Arial" w:cs="Arial"/>
                <w:sz w:val="22"/>
                <w:szCs w:val="22"/>
              </w:rPr>
              <w:t xml:space="preserve"> </w:t>
            </w:r>
          </w:p>
        </w:tc>
      </w:tr>
    </w:tbl>
    <w:p w14:paraId="3E832287" w14:textId="229AC950"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51EBCD97" w14:textId="77777777" w:rsidR="008436EE" w:rsidRPr="003A1A89" w:rsidRDefault="008436EE" w:rsidP="008436EE">
      <w:pPr>
        <w:pStyle w:val="MainText"/>
        <w:rPr>
          <w:rFonts w:ascii="Arial" w:hAnsi="Arial" w:cs="Arial"/>
          <w:b/>
          <w:bCs/>
          <w:sz w:val="28"/>
          <w:szCs w:val="28"/>
        </w:rPr>
      </w:pPr>
      <w:bookmarkStart w:id="1" w:name="MainHeading2"/>
      <w:bookmarkEnd w:id="1"/>
      <w:r>
        <w:rPr>
          <w:rFonts w:ascii="Arial" w:hAnsi="Arial" w:cs="Arial"/>
          <w:b/>
          <w:bCs/>
          <w:sz w:val="28"/>
          <w:szCs w:val="28"/>
        </w:rPr>
        <w:lastRenderedPageBreak/>
        <w:t>Local Government F</w:t>
      </w:r>
      <w:r w:rsidRPr="003A1A89">
        <w:rPr>
          <w:rFonts w:ascii="Arial" w:hAnsi="Arial" w:cs="Arial"/>
          <w:b/>
          <w:bCs/>
          <w:sz w:val="28"/>
          <w:szCs w:val="28"/>
        </w:rPr>
        <w:t>i</w:t>
      </w:r>
      <w:r>
        <w:rPr>
          <w:rFonts w:ascii="Arial" w:hAnsi="Arial" w:cs="Arial"/>
          <w:b/>
          <w:bCs/>
          <w:sz w:val="28"/>
          <w:szCs w:val="28"/>
        </w:rPr>
        <w:t>nance Settlement 2019 to 2020: Technical C</w:t>
      </w:r>
      <w:r w:rsidRPr="003A1A89">
        <w:rPr>
          <w:rFonts w:ascii="Arial" w:hAnsi="Arial" w:cs="Arial"/>
          <w:b/>
          <w:bCs/>
          <w:sz w:val="28"/>
          <w:szCs w:val="28"/>
        </w:rPr>
        <w:t>onsultation</w:t>
      </w:r>
    </w:p>
    <w:p w14:paraId="76092D43" w14:textId="77777777" w:rsidR="00765850" w:rsidRDefault="00765850" w:rsidP="00720BE8">
      <w:pPr>
        <w:rPr>
          <w:rFonts w:ascii="Arial" w:hAnsi="Arial" w:cs="Arial"/>
          <w:b/>
          <w:sz w:val="28"/>
          <w:szCs w:val="22"/>
        </w:rPr>
      </w:pPr>
    </w:p>
    <w:p w14:paraId="6CE9F38A" w14:textId="62F5D26A" w:rsidR="00765850" w:rsidRPr="002048CA" w:rsidRDefault="0B50786C" w:rsidP="00720BE8">
      <w:pPr>
        <w:rPr>
          <w:rFonts w:ascii="Arial" w:hAnsi="Arial" w:cs="Arial"/>
          <w:b/>
          <w:bCs/>
        </w:rPr>
      </w:pPr>
      <w:r w:rsidRPr="0B50786C">
        <w:rPr>
          <w:rFonts w:ascii="Arial" w:hAnsi="Arial" w:cs="Arial"/>
          <w:b/>
          <w:bCs/>
        </w:rPr>
        <w:t>Introduction</w:t>
      </w:r>
    </w:p>
    <w:p w14:paraId="605ECBCC" w14:textId="77777777" w:rsidR="00765850" w:rsidRPr="002048CA" w:rsidRDefault="00765850" w:rsidP="00720BE8">
      <w:pPr>
        <w:rPr>
          <w:rFonts w:ascii="Arial" w:hAnsi="Arial" w:cs="Arial"/>
          <w:szCs w:val="22"/>
        </w:rPr>
      </w:pPr>
    </w:p>
    <w:p w14:paraId="4C8E6784" w14:textId="16BA991E" w:rsidR="00DE06FF" w:rsidRPr="002E03F5" w:rsidRDefault="00DE06FF" w:rsidP="00720BE8">
      <w:pPr>
        <w:pStyle w:val="MainText"/>
        <w:numPr>
          <w:ilvl w:val="0"/>
          <w:numId w:val="1"/>
        </w:numPr>
        <w:spacing w:line="240" w:lineRule="auto"/>
        <w:rPr>
          <w:rFonts w:ascii="Arial" w:hAnsi="Arial" w:cs="Arial"/>
          <w:szCs w:val="22"/>
        </w:rPr>
      </w:pPr>
      <w:r w:rsidRPr="00A602EC">
        <w:rPr>
          <w:rFonts w:ascii="Arial" w:hAnsi="Arial" w:cs="Arial"/>
        </w:rPr>
        <w:t xml:space="preserve">This report </w:t>
      </w:r>
      <w:r w:rsidR="002E03F5">
        <w:rPr>
          <w:rFonts w:ascii="Arial" w:hAnsi="Arial" w:cs="Arial"/>
        </w:rPr>
        <w:t xml:space="preserve">presents for comment and approval the LGA’s submission to the MHCLG </w:t>
      </w:r>
      <w:hyperlink r:id="rId15" w:history="1">
        <w:r w:rsidR="002E03F5" w:rsidRPr="006948A3">
          <w:rPr>
            <w:rStyle w:val="Hyperlink"/>
            <w:rFonts w:ascii="Arial" w:hAnsi="Arial" w:cs="Arial"/>
          </w:rPr>
          <w:t>technical consultation</w:t>
        </w:r>
      </w:hyperlink>
      <w:r w:rsidR="002E03F5">
        <w:rPr>
          <w:rFonts w:ascii="Arial" w:hAnsi="Arial" w:cs="Arial"/>
        </w:rPr>
        <w:t xml:space="preserve"> on the 2019/20 local government finance settlement.</w:t>
      </w:r>
      <w:r w:rsidR="0022480C">
        <w:rPr>
          <w:rFonts w:ascii="Arial" w:hAnsi="Arial" w:cs="Arial"/>
        </w:rPr>
        <w:t xml:space="preserve"> It is also being presented to the LGA Executive at its meeting on 13 September and the Resources Board at its meeting on 14 September.</w:t>
      </w:r>
    </w:p>
    <w:p w14:paraId="0523E464" w14:textId="77777777" w:rsidR="002E03F5" w:rsidRDefault="002E03F5" w:rsidP="002E03F5">
      <w:pPr>
        <w:pStyle w:val="MainText"/>
        <w:spacing w:line="240" w:lineRule="auto"/>
        <w:rPr>
          <w:rFonts w:ascii="Arial" w:hAnsi="Arial" w:cs="Arial"/>
        </w:rPr>
      </w:pPr>
    </w:p>
    <w:p w14:paraId="00A068C6" w14:textId="17E9F335" w:rsidR="002E03F5" w:rsidRPr="002E03F5" w:rsidRDefault="002E03F5" w:rsidP="002E03F5">
      <w:pPr>
        <w:pStyle w:val="MainText"/>
        <w:spacing w:line="240" w:lineRule="auto"/>
        <w:rPr>
          <w:rFonts w:ascii="Arial" w:hAnsi="Arial" w:cs="Arial"/>
          <w:b/>
          <w:szCs w:val="22"/>
        </w:rPr>
      </w:pPr>
      <w:r w:rsidRPr="002E03F5">
        <w:rPr>
          <w:rFonts w:ascii="Arial" w:hAnsi="Arial" w:cs="Arial"/>
          <w:b/>
        </w:rPr>
        <w:t>Detail</w:t>
      </w:r>
    </w:p>
    <w:p w14:paraId="68389008" w14:textId="77777777" w:rsidR="00D91E1D" w:rsidRPr="00A602EC" w:rsidRDefault="00D91E1D" w:rsidP="00D91E1D">
      <w:pPr>
        <w:pStyle w:val="ListParagraph"/>
        <w:rPr>
          <w:rFonts w:ascii="Arial" w:hAnsi="Arial" w:cs="Arial"/>
          <w:szCs w:val="22"/>
        </w:rPr>
      </w:pPr>
    </w:p>
    <w:p w14:paraId="451F98E0" w14:textId="551BB611" w:rsidR="00D91E1D" w:rsidRDefault="002E03F5" w:rsidP="002E03F5">
      <w:pPr>
        <w:pStyle w:val="MainText"/>
        <w:numPr>
          <w:ilvl w:val="0"/>
          <w:numId w:val="1"/>
        </w:numPr>
        <w:spacing w:after="120" w:line="240" w:lineRule="auto"/>
        <w:ind w:left="357" w:hanging="357"/>
        <w:rPr>
          <w:rFonts w:ascii="Arial" w:hAnsi="Arial" w:cs="Arial"/>
          <w:szCs w:val="22"/>
        </w:rPr>
      </w:pPr>
      <w:r>
        <w:rPr>
          <w:rFonts w:ascii="Arial" w:hAnsi="Arial" w:cs="Arial"/>
          <w:szCs w:val="22"/>
        </w:rPr>
        <w:t xml:space="preserve">The </w:t>
      </w:r>
      <w:r w:rsidR="00ED6B70">
        <w:rPr>
          <w:rFonts w:ascii="Arial" w:hAnsi="Arial" w:cs="Arial"/>
          <w:szCs w:val="22"/>
        </w:rPr>
        <w:t xml:space="preserve">MHCLG </w:t>
      </w:r>
      <w:r>
        <w:rPr>
          <w:rFonts w:ascii="Arial" w:hAnsi="Arial" w:cs="Arial"/>
          <w:szCs w:val="22"/>
        </w:rPr>
        <w:t>technical consultation paper on the 2019/20 local government finance was published on 24 July 2018</w:t>
      </w:r>
      <w:r w:rsidR="00D91E1D" w:rsidRPr="00A602EC">
        <w:rPr>
          <w:rFonts w:ascii="Arial" w:hAnsi="Arial" w:cs="Arial"/>
          <w:szCs w:val="22"/>
        </w:rPr>
        <w:t>.</w:t>
      </w:r>
      <w:r w:rsidR="00CC0017">
        <w:rPr>
          <w:rFonts w:ascii="Arial" w:hAnsi="Arial" w:cs="Arial"/>
          <w:szCs w:val="22"/>
        </w:rPr>
        <w:t xml:space="preserve"> </w:t>
      </w:r>
      <w:r>
        <w:rPr>
          <w:rFonts w:ascii="Arial" w:hAnsi="Arial" w:cs="Arial"/>
          <w:szCs w:val="22"/>
        </w:rPr>
        <w:t>The clos</w:t>
      </w:r>
      <w:r w:rsidR="00CC0017">
        <w:rPr>
          <w:rFonts w:ascii="Arial" w:hAnsi="Arial" w:cs="Arial"/>
          <w:szCs w:val="22"/>
        </w:rPr>
        <w:t xml:space="preserve">ing date is 18 September 2018. </w:t>
      </w:r>
      <w:r w:rsidRPr="002E03F5">
        <w:rPr>
          <w:rFonts w:ascii="Arial" w:hAnsi="Arial" w:cs="Arial"/>
          <w:szCs w:val="22"/>
        </w:rPr>
        <w:t xml:space="preserve">The consultation paper sets out the government’s intended approach for </w:t>
      </w:r>
      <w:r w:rsidR="007E70D4">
        <w:rPr>
          <w:rFonts w:ascii="Arial" w:hAnsi="Arial" w:cs="Arial"/>
          <w:szCs w:val="22"/>
        </w:rPr>
        <w:t xml:space="preserve">2019/20, </w:t>
      </w:r>
      <w:r w:rsidRPr="002E03F5">
        <w:rPr>
          <w:rFonts w:ascii="Arial" w:hAnsi="Arial" w:cs="Arial"/>
          <w:szCs w:val="22"/>
        </w:rPr>
        <w:t>the final year of the multi-year local government finance settlement.</w:t>
      </w:r>
      <w:r>
        <w:rPr>
          <w:rFonts w:ascii="Arial" w:hAnsi="Arial" w:cs="Arial"/>
          <w:szCs w:val="22"/>
        </w:rPr>
        <w:t xml:space="preserve"> In particular it covers:</w:t>
      </w:r>
    </w:p>
    <w:p w14:paraId="3128F119" w14:textId="3EA7E218" w:rsidR="002E03F5" w:rsidRDefault="002E03F5" w:rsidP="002E03F5">
      <w:pPr>
        <w:pStyle w:val="MainText"/>
        <w:numPr>
          <w:ilvl w:val="1"/>
          <w:numId w:val="1"/>
        </w:numPr>
        <w:spacing w:after="120" w:line="240" w:lineRule="auto"/>
        <w:ind w:left="788" w:hanging="431"/>
        <w:rPr>
          <w:rFonts w:ascii="Arial" w:hAnsi="Arial" w:cs="Arial"/>
          <w:szCs w:val="22"/>
        </w:rPr>
      </w:pPr>
      <w:r>
        <w:rPr>
          <w:rFonts w:ascii="Arial" w:hAnsi="Arial" w:cs="Arial"/>
          <w:szCs w:val="22"/>
        </w:rPr>
        <w:t>The arrangements for the fourth year of the multi-ye</w:t>
      </w:r>
      <w:r w:rsidR="002619D2">
        <w:rPr>
          <w:rFonts w:ascii="Arial" w:hAnsi="Arial" w:cs="Arial"/>
          <w:szCs w:val="22"/>
        </w:rPr>
        <w:t>ar settlement offer announced in 2015, which included Revenue Support Grant, business rates tariff and top-up payments and Rural Services Delivery Grant.</w:t>
      </w:r>
    </w:p>
    <w:p w14:paraId="3ACEA29C" w14:textId="60497CD8" w:rsidR="002E03F5" w:rsidRDefault="002E03F5" w:rsidP="002E03F5">
      <w:pPr>
        <w:pStyle w:val="MainText"/>
        <w:numPr>
          <w:ilvl w:val="1"/>
          <w:numId w:val="1"/>
        </w:numPr>
        <w:spacing w:after="120" w:line="240" w:lineRule="auto"/>
        <w:ind w:left="788" w:hanging="431"/>
        <w:rPr>
          <w:rFonts w:ascii="Arial" w:hAnsi="Arial" w:cs="Arial"/>
          <w:szCs w:val="22"/>
        </w:rPr>
      </w:pPr>
      <w:r>
        <w:rPr>
          <w:rFonts w:ascii="Arial" w:hAnsi="Arial" w:cs="Arial"/>
          <w:szCs w:val="22"/>
        </w:rPr>
        <w:t>Future arrangements for the New Homes Bonus;</w:t>
      </w:r>
      <w:r w:rsidR="002619D2">
        <w:rPr>
          <w:rFonts w:ascii="Arial" w:hAnsi="Arial" w:cs="Arial"/>
          <w:szCs w:val="22"/>
        </w:rPr>
        <w:t xml:space="preserve"> where the Government outlines </w:t>
      </w:r>
      <w:r w:rsidR="00546126">
        <w:rPr>
          <w:rFonts w:ascii="Arial" w:hAnsi="Arial" w:cs="Arial"/>
          <w:szCs w:val="22"/>
        </w:rPr>
        <w:t>that it</w:t>
      </w:r>
      <w:r w:rsidR="002619D2">
        <w:rPr>
          <w:rFonts w:ascii="Arial" w:hAnsi="Arial" w:cs="Arial"/>
          <w:szCs w:val="22"/>
        </w:rPr>
        <w:t xml:space="preserve"> expect</w:t>
      </w:r>
      <w:r w:rsidR="00546126">
        <w:rPr>
          <w:rFonts w:ascii="Arial" w:hAnsi="Arial" w:cs="Arial"/>
          <w:szCs w:val="22"/>
        </w:rPr>
        <w:t xml:space="preserve">s to raise the 0.4 per cent threshold for the bonus </w:t>
      </w:r>
      <w:r w:rsidR="002619D2">
        <w:rPr>
          <w:rFonts w:ascii="Arial" w:hAnsi="Arial" w:cs="Arial"/>
          <w:szCs w:val="22"/>
        </w:rPr>
        <w:t xml:space="preserve">in 2019/20 </w:t>
      </w:r>
      <w:r w:rsidR="00F12CD7">
        <w:rPr>
          <w:rFonts w:ascii="Arial" w:hAnsi="Arial" w:cs="Arial"/>
          <w:szCs w:val="22"/>
        </w:rPr>
        <w:t>to keep the bonus within 2015 Spending Review limits.  The Government will</w:t>
      </w:r>
      <w:r w:rsidR="006948A3">
        <w:rPr>
          <w:rFonts w:ascii="Arial" w:hAnsi="Arial" w:cs="Arial"/>
          <w:szCs w:val="22"/>
        </w:rPr>
        <w:t>,</w:t>
      </w:r>
      <w:r w:rsidR="00F12CD7">
        <w:rPr>
          <w:rFonts w:ascii="Arial" w:hAnsi="Arial" w:cs="Arial"/>
          <w:szCs w:val="22"/>
        </w:rPr>
        <w:t xml:space="preserve"> </w:t>
      </w:r>
      <w:r w:rsidR="002619D2">
        <w:rPr>
          <w:rFonts w:ascii="Arial" w:hAnsi="Arial" w:cs="Arial"/>
          <w:szCs w:val="22"/>
        </w:rPr>
        <w:t xml:space="preserve">in the </w:t>
      </w:r>
      <w:r w:rsidR="00F12CD7">
        <w:rPr>
          <w:rFonts w:ascii="Arial" w:hAnsi="Arial" w:cs="Arial"/>
          <w:szCs w:val="22"/>
        </w:rPr>
        <w:t xml:space="preserve">run up to the </w:t>
      </w:r>
      <w:r w:rsidR="002619D2">
        <w:rPr>
          <w:rFonts w:ascii="Arial" w:hAnsi="Arial" w:cs="Arial"/>
          <w:szCs w:val="22"/>
        </w:rPr>
        <w:t>next Spending Review period</w:t>
      </w:r>
      <w:r w:rsidR="006545AC">
        <w:rPr>
          <w:rFonts w:ascii="Arial" w:hAnsi="Arial" w:cs="Arial"/>
          <w:szCs w:val="22"/>
        </w:rPr>
        <w:t xml:space="preserve">, </w:t>
      </w:r>
      <w:r w:rsidR="002619D2" w:rsidRPr="002619D2">
        <w:rPr>
          <w:rFonts w:ascii="Arial" w:hAnsi="Arial" w:cs="Arial"/>
          <w:szCs w:val="22"/>
        </w:rPr>
        <w:t>explore how to incentivise housing growth to reward delivery or incentivis</w:t>
      </w:r>
      <w:r w:rsidR="00546126">
        <w:rPr>
          <w:rFonts w:ascii="Arial" w:hAnsi="Arial" w:cs="Arial"/>
          <w:szCs w:val="22"/>
        </w:rPr>
        <w:t>e</w:t>
      </w:r>
      <w:r w:rsidR="002619D2" w:rsidRPr="002619D2">
        <w:rPr>
          <w:rFonts w:ascii="Arial" w:hAnsi="Arial" w:cs="Arial"/>
          <w:szCs w:val="22"/>
        </w:rPr>
        <w:t xml:space="preserve"> plans that meet or exceed local housing need.</w:t>
      </w:r>
    </w:p>
    <w:p w14:paraId="369C8A7A" w14:textId="6971209B" w:rsidR="002E03F5" w:rsidRDefault="002E03F5" w:rsidP="002E03F5">
      <w:pPr>
        <w:pStyle w:val="MainText"/>
        <w:numPr>
          <w:ilvl w:val="1"/>
          <w:numId w:val="1"/>
        </w:numPr>
        <w:spacing w:after="120" w:line="240" w:lineRule="auto"/>
        <w:ind w:left="788" w:hanging="431"/>
        <w:rPr>
          <w:rFonts w:ascii="Arial" w:hAnsi="Arial" w:cs="Arial"/>
          <w:szCs w:val="22"/>
        </w:rPr>
      </w:pPr>
      <w:r>
        <w:rPr>
          <w:rFonts w:ascii="Arial" w:hAnsi="Arial" w:cs="Arial"/>
          <w:szCs w:val="22"/>
        </w:rPr>
        <w:t>T</w:t>
      </w:r>
      <w:r w:rsidRPr="002E03F5">
        <w:rPr>
          <w:rFonts w:ascii="Arial" w:hAnsi="Arial" w:cs="Arial"/>
          <w:szCs w:val="22"/>
        </w:rPr>
        <w:t>he Government’s proposals for council tax referendum principles for 2019-20</w:t>
      </w:r>
      <w:r w:rsidR="00855D80">
        <w:rPr>
          <w:rFonts w:ascii="Arial" w:hAnsi="Arial" w:cs="Arial"/>
          <w:szCs w:val="22"/>
        </w:rPr>
        <w:t xml:space="preserve"> which confirm those set out for 2019/20 as part of the 201</w:t>
      </w:r>
      <w:r w:rsidR="00AB0DFD">
        <w:rPr>
          <w:rFonts w:ascii="Arial" w:hAnsi="Arial" w:cs="Arial"/>
          <w:szCs w:val="22"/>
        </w:rPr>
        <w:t>8</w:t>
      </w:r>
      <w:r w:rsidR="00855D80">
        <w:rPr>
          <w:rFonts w:ascii="Arial" w:hAnsi="Arial" w:cs="Arial"/>
          <w:szCs w:val="22"/>
        </w:rPr>
        <w:t>/19 settlement</w:t>
      </w:r>
      <w:r w:rsidR="002619D2">
        <w:rPr>
          <w:rFonts w:ascii="Arial" w:hAnsi="Arial" w:cs="Arial"/>
          <w:szCs w:val="22"/>
        </w:rPr>
        <w:t>.  These are</w:t>
      </w:r>
      <w:r w:rsidR="00301EED">
        <w:rPr>
          <w:rFonts w:ascii="Arial" w:hAnsi="Arial" w:cs="Arial"/>
          <w:szCs w:val="22"/>
        </w:rPr>
        <w:t>:</w:t>
      </w:r>
      <w:r w:rsidR="002619D2">
        <w:rPr>
          <w:rFonts w:ascii="Arial" w:hAnsi="Arial" w:cs="Arial"/>
          <w:szCs w:val="22"/>
        </w:rPr>
        <w:t xml:space="preserve"> </w:t>
      </w:r>
    </w:p>
    <w:p w14:paraId="02B65372" w14:textId="22A3C013" w:rsidR="002619D2" w:rsidRDefault="002619D2" w:rsidP="00CC0017">
      <w:pPr>
        <w:pStyle w:val="MainText"/>
        <w:numPr>
          <w:ilvl w:val="2"/>
          <w:numId w:val="1"/>
        </w:numPr>
        <w:spacing w:after="120" w:line="240" w:lineRule="auto"/>
        <w:ind w:left="1287" w:hanging="567"/>
        <w:rPr>
          <w:rFonts w:ascii="Arial" w:hAnsi="Arial" w:cs="Arial"/>
          <w:szCs w:val="22"/>
        </w:rPr>
      </w:pPr>
      <w:r>
        <w:rPr>
          <w:rFonts w:ascii="Arial" w:hAnsi="Arial" w:cs="Arial"/>
          <w:szCs w:val="22"/>
        </w:rPr>
        <w:t>A core principle of 3 per cent for all single tier and county councils, fire and rescue authorities and the Greater London Authority</w:t>
      </w:r>
      <w:r w:rsidR="00CC0017">
        <w:rPr>
          <w:rFonts w:ascii="Arial" w:hAnsi="Arial" w:cs="Arial"/>
          <w:szCs w:val="22"/>
        </w:rPr>
        <w:t>.</w:t>
      </w:r>
    </w:p>
    <w:p w14:paraId="78E3DB69" w14:textId="5211AC27" w:rsidR="002619D2" w:rsidRDefault="002619D2" w:rsidP="00CC0017">
      <w:pPr>
        <w:pStyle w:val="MainText"/>
        <w:numPr>
          <w:ilvl w:val="2"/>
          <w:numId w:val="1"/>
        </w:numPr>
        <w:spacing w:after="120" w:line="240" w:lineRule="auto"/>
        <w:ind w:left="1287" w:hanging="567"/>
        <w:rPr>
          <w:rFonts w:ascii="Arial" w:hAnsi="Arial" w:cs="Arial"/>
          <w:szCs w:val="22"/>
        </w:rPr>
      </w:pPr>
      <w:r>
        <w:rPr>
          <w:rFonts w:ascii="Arial" w:hAnsi="Arial" w:cs="Arial"/>
          <w:szCs w:val="22"/>
        </w:rPr>
        <w:t>A continuation of the Adult Social Care precept</w:t>
      </w:r>
      <w:r w:rsidR="00F12CD7">
        <w:rPr>
          <w:rFonts w:ascii="Arial" w:hAnsi="Arial" w:cs="Arial"/>
          <w:szCs w:val="22"/>
        </w:rPr>
        <w:t xml:space="preserve"> </w:t>
      </w:r>
      <w:r w:rsidR="004E48FC">
        <w:rPr>
          <w:rFonts w:ascii="Arial" w:hAnsi="Arial" w:cs="Arial"/>
          <w:szCs w:val="22"/>
        </w:rPr>
        <w:t xml:space="preserve">of 2 per cent </w:t>
      </w:r>
      <w:r w:rsidRPr="002619D2">
        <w:rPr>
          <w:rFonts w:ascii="Arial" w:hAnsi="Arial" w:cs="Arial"/>
          <w:szCs w:val="22"/>
        </w:rPr>
        <w:t>subject to total increases for the Adult Social Care precept not exceeding 6</w:t>
      </w:r>
      <w:r w:rsidR="0087462C">
        <w:rPr>
          <w:rFonts w:ascii="Arial" w:hAnsi="Arial" w:cs="Arial"/>
          <w:szCs w:val="22"/>
        </w:rPr>
        <w:t xml:space="preserve"> per cent </w:t>
      </w:r>
      <w:r w:rsidRPr="002619D2">
        <w:rPr>
          <w:rFonts w:ascii="Arial" w:hAnsi="Arial" w:cs="Arial"/>
          <w:szCs w:val="22"/>
        </w:rPr>
        <w:t>between 2017-18 and 2019-20, and consideration of authorities’ use of the Adult Social Care precept in the previous years.</w:t>
      </w:r>
    </w:p>
    <w:p w14:paraId="3AA3BA63" w14:textId="3A07C086" w:rsidR="002619D2" w:rsidRDefault="002619D2" w:rsidP="00CC0017">
      <w:pPr>
        <w:pStyle w:val="MainText"/>
        <w:numPr>
          <w:ilvl w:val="2"/>
          <w:numId w:val="1"/>
        </w:numPr>
        <w:spacing w:after="120" w:line="240" w:lineRule="auto"/>
        <w:ind w:left="1287" w:hanging="567"/>
        <w:rPr>
          <w:rFonts w:ascii="Arial" w:hAnsi="Arial" w:cs="Arial"/>
          <w:szCs w:val="22"/>
        </w:rPr>
      </w:pPr>
      <w:r>
        <w:rPr>
          <w:rFonts w:ascii="Arial" w:hAnsi="Arial" w:cs="Arial"/>
          <w:szCs w:val="22"/>
        </w:rPr>
        <w:t>S</w:t>
      </w:r>
      <w:r w:rsidRPr="002619D2">
        <w:rPr>
          <w:rFonts w:ascii="Arial" w:hAnsi="Arial" w:cs="Arial"/>
          <w:szCs w:val="22"/>
        </w:rPr>
        <w:t xml:space="preserve">hire district councils in two-tier areas </w:t>
      </w:r>
      <w:r>
        <w:rPr>
          <w:rFonts w:ascii="Arial" w:hAnsi="Arial" w:cs="Arial"/>
          <w:szCs w:val="22"/>
        </w:rPr>
        <w:t>being</w:t>
      </w:r>
      <w:r w:rsidRPr="002619D2">
        <w:rPr>
          <w:rFonts w:ascii="Arial" w:hAnsi="Arial" w:cs="Arial"/>
          <w:szCs w:val="22"/>
        </w:rPr>
        <w:t xml:space="preserve"> allowed increases of up to 3</w:t>
      </w:r>
      <w:r w:rsidR="0087462C">
        <w:rPr>
          <w:rFonts w:ascii="Arial" w:hAnsi="Arial" w:cs="Arial"/>
          <w:szCs w:val="22"/>
        </w:rPr>
        <w:t xml:space="preserve"> per cent</w:t>
      </w:r>
      <w:r w:rsidRPr="002619D2">
        <w:rPr>
          <w:rFonts w:ascii="Arial" w:hAnsi="Arial" w:cs="Arial"/>
          <w:szCs w:val="22"/>
        </w:rPr>
        <w:t>, or up to and including £5, whichever is higher.</w:t>
      </w:r>
    </w:p>
    <w:p w14:paraId="2C9D0725" w14:textId="232E67ED" w:rsidR="002619D2" w:rsidRDefault="002619D2" w:rsidP="00CC0017">
      <w:pPr>
        <w:pStyle w:val="MainText"/>
        <w:numPr>
          <w:ilvl w:val="2"/>
          <w:numId w:val="1"/>
        </w:numPr>
        <w:spacing w:after="120" w:line="240" w:lineRule="auto"/>
        <w:ind w:left="1287" w:hanging="567"/>
        <w:rPr>
          <w:rFonts w:ascii="Arial" w:hAnsi="Arial" w:cs="Arial"/>
          <w:szCs w:val="22"/>
        </w:rPr>
      </w:pPr>
      <w:r>
        <w:rPr>
          <w:rFonts w:ascii="Arial" w:hAnsi="Arial" w:cs="Arial"/>
          <w:szCs w:val="22"/>
        </w:rPr>
        <w:t>A precept increase of £12 for police services</w:t>
      </w:r>
      <w:r w:rsidR="00114A81">
        <w:rPr>
          <w:rFonts w:ascii="Arial" w:hAnsi="Arial" w:cs="Arial"/>
          <w:szCs w:val="22"/>
        </w:rPr>
        <w:t>.</w:t>
      </w:r>
    </w:p>
    <w:p w14:paraId="7E6927F2" w14:textId="12941085" w:rsidR="00114A81" w:rsidRDefault="00114A81" w:rsidP="00CC0017">
      <w:pPr>
        <w:pStyle w:val="MainText"/>
        <w:numPr>
          <w:ilvl w:val="2"/>
          <w:numId w:val="1"/>
        </w:numPr>
        <w:spacing w:after="120" w:line="240" w:lineRule="auto"/>
        <w:ind w:left="1287" w:hanging="567"/>
        <w:rPr>
          <w:rFonts w:ascii="Arial" w:hAnsi="Arial" w:cs="Arial"/>
          <w:szCs w:val="22"/>
        </w:rPr>
      </w:pPr>
      <w:r>
        <w:rPr>
          <w:rFonts w:ascii="Arial" w:hAnsi="Arial" w:cs="Arial"/>
          <w:szCs w:val="22"/>
        </w:rPr>
        <w:t xml:space="preserve">No referendum principles for 5 </w:t>
      </w:r>
      <w:r w:rsidR="00A03768">
        <w:rPr>
          <w:rFonts w:ascii="Arial" w:hAnsi="Arial" w:cs="Arial"/>
          <w:szCs w:val="22"/>
        </w:rPr>
        <w:t xml:space="preserve">of the 6 </w:t>
      </w:r>
      <w:r>
        <w:rPr>
          <w:rFonts w:ascii="Arial" w:hAnsi="Arial" w:cs="Arial"/>
          <w:szCs w:val="22"/>
        </w:rPr>
        <w:t>Mayoral Combined Authorities with powers to raise a precept</w:t>
      </w:r>
      <w:r w:rsidR="00A03768">
        <w:rPr>
          <w:rStyle w:val="FootnoteReference"/>
          <w:rFonts w:ascii="Arial" w:hAnsi="Arial" w:cs="Arial"/>
          <w:szCs w:val="22"/>
        </w:rPr>
        <w:footnoteReference w:id="2"/>
      </w:r>
      <w:r>
        <w:rPr>
          <w:rFonts w:ascii="Arial" w:hAnsi="Arial" w:cs="Arial"/>
          <w:szCs w:val="22"/>
        </w:rPr>
        <w:t xml:space="preserve"> or for town or parish councils.</w:t>
      </w:r>
    </w:p>
    <w:p w14:paraId="5B808ABD" w14:textId="7D6C5073" w:rsidR="00106D53" w:rsidRPr="0007605D" w:rsidRDefault="002E03F5" w:rsidP="004E48FC">
      <w:pPr>
        <w:pStyle w:val="MainText"/>
        <w:numPr>
          <w:ilvl w:val="1"/>
          <w:numId w:val="1"/>
        </w:numPr>
        <w:spacing w:after="120" w:line="240" w:lineRule="auto"/>
        <w:ind w:left="788" w:hanging="431"/>
        <w:rPr>
          <w:rFonts w:ascii="Arial" w:hAnsi="Arial" w:cs="Arial"/>
          <w:szCs w:val="22"/>
        </w:rPr>
      </w:pPr>
      <w:r>
        <w:rPr>
          <w:rFonts w:ascii="Arial" w:hAnsi="Arial" w:cs="Arial"/>
          <w:szCs w:val="22"/>
        </w:rPr>
        <w:t>P</w:t>
      </w:r>
      <w:r w:rsidRPr="002E03F5">
        <w:rPr>
          <w:rFonts w:ascii="Arial" w:hAnsi="Arial" w:cs="Arial"/>
          <w:szCs w:val="22"/>
        </w:rPr>
        <w:t xml:space="preserve">roposals for dealing with the </w:t>
      </w:r>
      <w:r>
        <w:rPr>
          <w:rFonts w:ascii="Arial" w:hAnsi="Arial" w:cs="Arial"/>
          <w:szCs w:val="22"/>
        </w:rPr>
        <w:t xml:space="preserve">negative adjustment to tariffs and top-ups known </w:t>
      </w:r>
      <w:r w:rsidRPr="002E03F5">
        <w:rPr>
          <w:rFonts w:ascii="Arial" w:hAnsi="Arial" w:cs="Arial"/>
          <w:szCs w:val="22"/>
        </w:rPr>
        <w:t>as ‘Negative Revenue Support Grant’.</w:t>
      </w:r>
      <w:r w:rsidR="00CC0017">
        <w:rPr>
          <w:rFonts w:ascii="Arial" w:hAnsi="Arial" w:cs="Arial"/>
          <w:szCs w:val="22"/>
        </w:rPr>
        <w:t xml:space="preserve"> </w:t>
      </w:r>
      <w:r w:rsidR="00114A81">
        <w:rPr>
          <w:rFonts w:ascii="Arial" w:hAnsi="Arial" w:cs="Arial"/>
          <w:szCs w:val="22"/>
        </w:rPr>
        <w:t>The Government</w:t>
      </w:r>
      <w:r w:rsidR="001A6AE0">
        <w:rPr>
          <w:rFonts w:ascii="Arial" w:hAnsi="Arial" w:cs="Arial"/>
          <w:szCs w:val="22"/>
        </w:rPr>
        <w:t>’s</w:t>
      </w:r>
      <w:r w:rsidR="00114A81">
        <w:rPr>
          <w:rFonts w:ascii="Arial" w:hAnsi="Arial" w:cs="Arial"/>
          <w:szCs w:val="22"/>
        </w:rPr>
        <w:t xml:space="preserve"> preferred option is to cancel the negative adjustment in 2019/20 for the 168 authorities affected at</w:t>
      </w:r>
      <w:r w:rsidR="00CC0017">
        <w:rPr>
          <w:rFonts w:ascii="Arial" w:hAnsi="Arial" w:cs="Arial"/>
          <w:szCs w:val="22"/>
        </w:rPr>
        <w:t xml:space="preserve"> a total cost of £153 million. </w:t>
      </w:r>
      <w:r w:rsidR="0007605D">
        <w:rPr>
          <w:rFonts w:ascii="Arial" w:hAnsi="Arial" w:cs="Arial"/>
        </w:rPr>
        <w:t>Other authorities funding will not be reduced as a result of this proposal nor receive any additional resources.</w:t>
      </w:r>
      <w:bookmarkStart w:id="2" w:name="_GoBack"/>
      <w:bookmarkEnd w:id="2"/>
    </w:p>
    <w:p w14:paraId="4A7A4C99" w14:textId="0A812745" w:rsidR="002619D2" w:rsidRPr="00114A81" w:rsidRDefault="008436EE" w:rsidP="004E48FC">
      <w:pPr>
        <w:pStyle w:val="MainText"/>
        <w:spacing w:after="120" w:line="240" w:lineRule="auto"/>
        <w:rPr>
          <w:rFonts w:ascii="Arial" w:hAnsi="Arial" w:cs="Arial"/>
          <w:b/>
          <w:szCs w:val="22"/>
        </w:rPr>
      </w:pPr>
      <w:r>
        <w:rPr>
          <w:rFonts w:ascii="Arial" w:hAnsi="Arial" w:cs="Arial"/>
          <w:b/>
          <w:szCs w:val="22"/>
        </w:rPr>
        <w:lastRenderedPageBreak/>
        <w:t>LGA R</w:t>
      </w:r>
      <w:r w:rsidR="00114A81" w:rsidRPr="00114A81">
        <w:rPr>
          <w:rFonts w:ascii="Arial" w:hAnsi="Arial" w:cs="Arial"/>
          <w:b/>
          <w:szCs w:val="22"/>
        </w:rPr>
        <w:t>esponse</w:t>
      </w:r>
    </w:p>
    <w:p w14:paraId="3001A010" w14:textId="74337844" w:rsidR="00114A81" w:rsidRDefault="00114A81" w:rsidP="002619D2">
      <w:pPr>
        <w:pStyle w:val="MainText"/>
        <w:numPr>
          <w:ilvl w:val="0"/>
          <w:numId w:val="1"/>
        </w:numPr>
        <w:spacing w:after="120" w:line="240" w:lineRule="auto"/>
        <w:rPr>
          <w:rFonts w:ascii="Arial" w:hAnsi="Arial" w:cs="Arial"/>
          <w:szCs w:val="22"/>
        </w:rPr>
      </w:pPr>
      <w:r>
        <w:rPr>
          <w:rFonts w:ascii="Arial" w:hAnsi="Arial" w:cs="Arial"/>
          <w:szCs w:val="22"/>
        </w:rPr>
        <w:t xml:space="preserve">The LGA response is attached for </w:t>
      </w:r>
      <w:r w:rsidR="0022480C">
        <w:rPr>
          <w:rFonts w:ascii="Arial" w:hAnsi="Arial" w:cs="Arial"/>
          <w:szCs w:val="22"/>
        </w:rPr>
        <w:t>comment and approval</w:t>
      </w:r>
      <w:r w:rsidR="00CC0017">
        <w:rPr>
          <w:rFonts w:ascii="Arial" w:hAnsi="Arial" w:cs="Arial"/>
          <w:szCs w:val="22"/>
        </w:rPr>
        <w:t xml:space="preserve">. </w:t>
      </w:r>
      <w:r>
        <w:rPr>
          <w:rFonts w:ascii="Arial" w:hAnsi="Arial" w:cs="Arial"/>
          <w:szCs w:val="22"/>
        </w:rPr>
        <w:t>The key points are</w:t>
      </w:r>
      <w:r w:rsidR="004D61C8">
        <w:rPr>
          <w:rFonts w:ascii="Arial" w:hAnsi="Arial" w:cs="Arial"/>
          <w:szCs w:val="22"/>
        </w:rPr>
        <w:t>:</w:t>
      </w:r>
    </w:p>
    <w:p w14:paraId="7FEE8C3B" w14:textId="3558633C" w:rsidR="00114A81" w:rsidRDefault="00114A81" w:rsidP="00B5146A">
      <w:pPr>
        <w:pStyle w:val="paragraph"/>
        <w:numPr>
          <w:ilvl w:val="1"/>
          <w:numId w:val="1"/>
        </w:numPr>
        <w:textAlignment w:val="baseline"/>
        <w:rPr>
          <w:rFonts w:ascii="Arial" w:hAnsi="Arial" w:cs="Arial"/>
          <w:color w:val="000000"/>
          <w:sz w:val="22"/>
          <w:szCs w:val="22"/>
          <w:lang w:val="en-US"/>
        </w:rPr>
      </w:pPr>
      <w:r>
        <w:rPr>
          <w:rStyle w:val="normaltextrun1"/>
          <w:rFonts w:ascii="Arial" w:hAnsi="Arial" w:cs="Arial"/>
          <w:color w:val="000000"/>
          <w:sz w:val="22"/>
          <w:szCs w:val="22"/>
        </w:rPr>
        <w:t>The LGA welcomes the Government’s intention to continue with the four-year settlement to which 97 per cent of a</w:t>
      </w:r>
      <w:r w:rsidR="00CC0017">
        <w:rPr>
          <w:rStyle w:val="normaltextrun1"/>
          <w:rFonts w:ascii="Arial" w:hAnsi="Arial" w:cs="Arial"/>
          <w:color w:val="000000"/>
          <w:sz w:val="22"/>
          <w:szCs w:val="22"/>
        </w:rPr>
        <w:t>ll local authorities signed up.</w:t>
      </w:r>
      <w:r>
        <w:rPr>
          <w:rStyle w:val="normaltextrun1"/>
          <w:rFonts w:ascii="Arial" w:hAnsi="Arial" w:cs="Arial"/>
          <w:color w:val="000000"/>
          <w:sz w:val="22"/>
          <w:szCs w:val="22"/>
        </w:rPr>
        <w:t xml:space="preserve"> However, local authorities are now facing rises in pay and prices, which were not forecast when local authorities signed up to the four year offer.</w:t>
      </w:r>
    </w:p>
    <w:p w14:paraId="7D86AAF1" w14:textId="77777777" w:rsidR="00114A81" w:rsidRDefault="00114A81" w:rsidP="00B5146A">
      <w:pPr>
        <w:pStyle w:val="paragraph"/>
        <w:ind w:left="360"/>
        <w:textAlignment w:val="baseline"/>
        <w:rPr>
          <w:rFonts w:ascii="Arial" w:hAnsi="Arial" w:cs="Arial"/>
          <w:color w:val="000000"/>
          <w:sz w:val="22"/>
          <w:szCs w:val="22"/>
          <w:lang w:val="en-US"/>
        </w:rPr>
      </w:pPr>
      <w:r>
        <w:rPr>
          <w:rStyle w:val="eop"/>
          <w:rFonts w:ascii="Arial" w:hAnsi="Arial" w:cs="Arial"/>
          <w:color w:val="000000"/>
          <w:sz w:val="22"/>
          <w:szCs w:val="22"/>
          <w:lang w:val="en-US"/>
        </w:rPr>
        <w:t> </w:t>
      </w:r>
    </w:p>
    <w:p w14:paraId="3258D4F7" w14:textId="39BCCC7D" w:rsidR="00114A81" w:rsidRDefault="00114A81" w:rsidP="00B5146A">
      <w:pPr>
        <w:pStyle w:val="paragraph"/>
        <w:numPr>
          <w:ilvl w:val="1"/>
          <w:numId w:val="1"/>
        </w:numPr>
        <w:textAlignment w:val="baseline"/>
        <w:rPr>
          <w:rFonts w:ascii="Arial" w:hAnsi="Arial" w:cs="Arial"/>
          <w:color w:val="000000"/>
          <w:sz w:val="22"/>
          <w:szCs w:val="22"/>
          <w:lang w:val="en-US"/>
        </w:rPr>
      </w:pPr>
      <w:r>
        <w:rPr>
          <w:rStyle w:val="normaltextrun1"/>
          <w:rFonts w:ascii="Arial" w:hAnsi="Arial" w:cs="Arial"/>
          <w:color w:val="000000"/>
          <w:sz w:val="22"/>
          <w:szCs w:val="22"/>
        </w:rPr>
        <w:t xml:space="preserve">Local services are facing a </w:t>
      </w:r>
      <w:r w:rsidR="00444B04">
        <w:rPr>
          <w:rStyle w:val="normaltextrun1"/>
          <w:rFonts w:ascii="Arial" w:hAnsi="Arial" w:cs="Arial"/>
          <w:color w:val="000000"/>
          <w:sz w:val="22"/>
          <w:szCs w:val="22"/>
        </w:rPr>
        <w:t xml:space="preserve"> </w:t>
      </w:r>
      <w:r w:rsidR="00277752">
        <w:rPr>
          <w:rStyle w:val="normaltextrun1"/>
          <w:rFonts w:ascii="Arial" w:hAnsi="Arial" w:cs="Arial"/>
          <w:color w:val="000000"/>
          <w:sz w:val="22"/>
          <w:szCs w:val="22"/>
        </w:rPr>
        <w:t>£3.8</w:t>
      </w:r>
      <w:r w:rsidR="00CC0017">
        <w:rPr>
          <w:rStyle w:val="normaltextrun1"/>
          <w:rFonts w:ascii="Arial" w:hAnsi="Arial" w:cs="Arial"/>
          <w:color w:val="000000"/>
          <w:sz w:val="22"/>
          <w:szCs w:val="22"/>
        </w:rPr>
        <w:t xml:space="preserve"> </w:t>
      </w:r>
      <w:r w:rsidR="00277752">
        <w:rPr>
          <w:rStyle w:val="normaltextrun1"/>
          <w:rFonts w:ascii="Arial" w:hAnsi="Arial" w:cs="Arial"/>
          <w:color w:val="000000"/>
          <w:sz w:val="22"/>
          <w:szCs w:val="22"/>
        </w:rPr>
        <w:t xml:space="preserve">billion funding gap in 2019/20 rising to </w:t>
      </w:r>
      <w:r>
        <w:rPr>
          <w:rStyle w:val="normaltextrun1"/>
          <w:rFonts w:ascii="Arial" w:hAnsi="Arial" w:cs="Arial"/>
          <w:color w:val="000000"/>
          <w:sz w:val="22"/>
          <w:szCs w:val="22"/>
        </w:rPr>
        <w:t>£</w:t>
      </w:r>
      <w:r w:rsidR="004E48FC">
        <w:rPr>
          <w:rStyle w:val="normaltextrun1"/>
          <w:rFonts w:ascii="Arial" w:hAnsi="Arial" w:cs="Arial"/>
          <w:color w:val="000000"/>
          <w:sz w:val="22"/>
          <w:szCs w:val="22"/>
        </w:rPr>
        <w:t>7.8 billion  by 2025</w:t>
      </w:r>
      <w:r>
        <w:rPr>
          <w:rStyle w:val="normaltextrun1"/>
          <w:rFonts w:ascii="Arial" w:hAnsi="Arial" w:cs="Arial"/>
          <w:color w:val="000000"/>
          <w:sz w:val="22"/>
          <w:szCs w:val="22"/>
        </w:rPr>
        <w:t xml:space="preserve"> and solving this issue requires bold decisions from the Government.</w:t>
      </w:r>
      <w:r>
        <w:rPr>
          <w:rStyle w:val="eop"/>
          <w:rFonts w:ascii="Arial" w:hAnsi="Arial" w:cs="Arial"/>
          <w:color w:val="000000"/>
          <w:sz w:val="22"/>
          <w:szCs w:val="22"/>
          <w:lang w:val="en-US"/>
        </w:rPr>
        <w:t> </w:t>
      </w:r>
    </w:p>
    <w:p w14:paraId="14EED37C" w14:textId="77777777" w:rsidR="00114A81" w:rsidRDefault="00114A81" w:rsidP="00B5146A">
      <w:pPr>
        <w:pStyle w:val="paragraph"/>
        <w:ind w:left="720"/>
        <w:textAlignment w:val="baseline"/>
        <w:rPr>
          <w:rFonts w:ascii="Arial" w:hAnsi="Arial" w:cs="Arial"/>
          <w:sz w:val="22"/>
          <w:szCs w:val="22"/>
          <w:lang w:val="en-US"/>
        </w:rPr>
      </w:pPr>
      <w:r>
        <w:rPr>
          <w:rStyle w:val="eop"/>
          <w:rFonts w:ascii="Frutiger 45 Light" w:hAnsi="Frutiger 45 Light" w:cs="Arial"/>
          <w:sz w:val="22"/>
          <w:szCs w:val="22"/>
          <w:lang w:val="en-US"/>
        </w:rPr>
        <w:t> </w:t>
      </w:r>
    </w:p>
    <w:p w14:paraId="29340807" w14:textId="5969566C" w:rsidR="00114A81" w:rsidRDefault="00114A81" w:rsidP="00B5146A">
      <w:pPr>
        <w:pStyle w:val="paragraph"/>
        <w:numPr>
          <w:ilvl w:val="1"/>
          <w:numId w:val="1"/>
        </w:numPr>
        <w:textAlignment w:val="baseline"/>
        <w:rPr>
          <w:rFonts w:ascii="Arial" w:hAnsi="Arial" w:cs="Arial"/>
          <w:color w:val="000000"/>
          <w:sz w:val="22"/>
          <w:szCs w:val="22"/>
          <w:lang w:val="en-US"/>
        </w:rPr>
      </w:pPr>
      <w:r>
        <w:rPr>
          <w:rStyle w:val="normaltextrun1"/>
          <w:rFonts w:ascii="Arial" w:hAnsi="Arial" w:cs="Arial"/>
          <w:color w:val="000000"/>
          <w:sz w:val="22"/>
          <w:szCs w:val="22"/>
        </w:rPr>
        <w:t>Local government is concerned that there is no clarity over funding levels, both nationally and locally, after March 2020. This hampers meaningful financial planning at a time when government grant funding is the lowest it has been for decades</w:t>
      </w:r>
      <w:r w:rsidR="001A6AE0">
        <w:rPr>
          <w:rStyle w:val="normaltextrun1"/>
          <w:rFonts w:ascii="Arial" w:hAnsi="Arial" w:cs="Arial"/>
          <w:color w:val="000000"/>
          <w:sz w:val="22"/>
          <w:szCs w:val="22"/>
        </w:rPr>
        <w:t>.</w:t>
      </w:r>
    </w:p>
    <w:p w14:paraId="4C24AF10" w14:textId="77777777" w:rsidR="00114A81" w:rsidRDefault="00114A81" w:rsidP="00B5146A">
      <w:pPr>
        <w:pStyle w:val="paragraph"/>
        <w:textAlignment w:val="baseline"/>
        <w:rPr>
          <w:rFonts w:ascii="Arial" w:hAnsi="Arial" w:cs="Arial"/>
          <w:color w:val="000000"/>
          <w:sz w:val="22"/>
          <w:szCs w:val="22"/>
          <w:lang w:val="en-US"/>
        </w:rPr>
      </w:pPr>
      <w:r>
        <w:rPr>
          <w:rStyle w:val="eop"/>
          <w:rFonts w:ascii="Arial" w:hAnsi="Arial" w:cs="Arial"/>
          <w:color w:val="000000"/>
          <w:sz w:val="22"/>
          <w:szCs w:val="22"/>
          <w:lang w:val="en-US"/>
        </w:rPr>
        <w:t> </w:t>
      </w:r>
    </w:p>
    <w:p w14:paraId="365CCD55" w14:textId="42DFA521" w:rsidR="00114A81" w:rsidRDefault="00114A81" w:rsidP="00B5146A">
      <w:pPr>
        <w:pStyle w:val="paragraph"/>
        <w:numPr>
          <w:ilvl w:val="1"/>
          <w:numId w:val="1"/>
        </w:numPr>
        <w:textAlignment w:val="baseline"/>
        <w:rPr>
          <w:rFonts w:ascii="Arial" w:hAnsi="Arial" w:cs="Arial"/>
          <w:color w:val="000000"/>
          <w:sz w:val="22"/>
          <w:szCs w:val="22"/>
          <w:lang w:val="en-US"/>
        </w:rPr>
      </w:pPr>
      <w:r>
        <w:rPr>
          <w:rStyle w:val="normaltextrun1"/>
          <w:rFonts w:ascii="Arial" w:hAnsi="Arial" w:cs="Arial"/>
          <w:color w:val="000000"/>
          <w:sz w:val="22"/>
          <w:szCs w:val="22"/>
        </w:rPr>
        <w:t>The LGA has consistently argued against the principle of council tax referenda for any local authority. Referendums on council tax are an unnecessary and costly burden. Council tax should be a local decision and councils should be held accountable through the normal mechanism of the ballot box. If the Government does still introduce principles, adult social care authorities which cannot increase the adult social care precept further and fire and rescue authorities are likely to make a particular case for additional flexibility</w:t>
      </w:r>
      <w:r w:rsidR="0022480C">
        <w:rPr>
          <w:rStyle w:val="normaltextrun1"/>
          <w:rFonts w:ascii="Arial" w:hAnsi="Arial" w:cs="Arial"/>
          <w:color w:val="000000"/>
          <w:sz w:val="22"/>
          <w:szCs w:val="22"/>
        </w:rPr>
        <w:t>, as well as shire districts who do not have any additional flexibility from t</w:t>
      </w:r>
      <w:r w:rsidR="00C55B96">
        <w:rPr>
          <w:rStyle w:val="normaltextrun1"/>
          <w:rFonts w:ascii="Arial" w:hAnsi="Arial" w:cs="Arial"/>
          <w:color w:val="000000"/>
          <w:sz w:val="22"/>
          <w:szCs w:val="22"/>
        </w:rPr>
        <w:t xml:space="preserve">he </w:t>
      </w:r>
      <w:r w:rsidR="0022480C">
        <w:rPr>
          <w:rStyle w:val="normaltextrun1"/>
          <w:rFonts w:ascii="Arial" w:hAnsi="Arial" w:cs="Arial"/>
          <w:color w:val="000000"/>
          <w:sz w:val="22"/>
          <w:szCs w:val="22"/>
        </w:rPr>
        <w:t xml:space="preserve">increase </w:t>
      </w:r>
      <w:r w:rsidR="001A6AE0">
        <w:rPr>
          <w:rStyle w:val="normaltextrun1"/>
          <w:rFonts w:ascii="Arial" w:hAnsi="Arial" w:cs="Arial"/>
          <w:color w:val="000000"/>
          <w:sz w:val="22"/>
          <w:szCs w:val="22"/>
        </w:rPr>
        <w:t xml:space="preserve">in the threshold from 2 to 3 per cent </w:t>
      </w:r>
      <w:r w:rsidR="0022480C">
        <w:rPr>
          <w:rStyle w:val="normaltextrun1"/>
          <w:rFonts w:ascii="Arial" w:hAnsi="Arial" w:cs="Arial"/>
          <w:color w:val="000000"/>
          <w:sz w:val="22"/>
          <w:szCs w:val="22"/>
        </w:rPr>
        <w:t>as this is below the £5 extra allowed</w:t>
      </w:r>
      <w:r>
        <w:rPr>
          <w:rStyle w:val="normaltextrun1"/>
          <w:rFonts w:ascii="Arial" w:hAnsi="Arial" w:cs="Arial"/>
          <w:color w:val="000000"/>
          <w:sz w:val="22"/>
          <w:szCs w:val="22"/>
        </w:rPr>
        <w:t>.</w:t>
      </w:r>
      <w:r>
        <w:rPr>
          <w:rStyle w:val="eop"/>
          <w:rFonts w:ascii="Arial" w:hAnsi="Arial" w:cs="Arial"/>
          <w:color w:val="000000"/>
          <w:sz w:val="22"/>
          <w:szCs w:val="22"/>
          <w:lang w:val="en-US"/>
        </w:rPr>
        <w:t> </w:t>
      </w:r>
    </w:p>
    <w:p w14:paraId="213E0B86" w14:textId="77777777" w:rsidR="00114A81" w:rsidRDefault="00114A81" w:rsidP="00B5146A">
      <w:pPr>
        <w:pStyle w:val="paragraph"/>
        <w:ind w:left="720"/>
        <w:textAlignment w:val="baseline"/>
        <w:rPr>
          <w:rFonts w:ascii="Arial" w:hAnsi="Arial" w:cs="Arial"/>
          <w:sz w:val="22"/>
          <w:szCs w:val="22"/>
          <w:lang w:val="en-US"/>
        </w:rPr>
      </w:pPr>
      <w:r>
        <w:rPr>
          <w:rStyle w:val="eop"/>
          <w:rFonts w:ascii="Frutiger 45 Light" w:hAnsi="Frutiger 45 Light" w:cs="Arial"/>
          <w:sz w:val="22"/>
          <w:szCs w:val="22"/>
          <w:lang w:val="en-US"/>
        </w:rPr>
        <w:t> </w:t>
      </w:r>
    </w:p>
    <w:p w14:paraId="66C4C303" w14:textId="489E14A8" w:rsidR="0022480C" w:rsidRPr="0022480C" w:rsidRDefault="00114A81" w:rsidP="0022480C">
      <w:pPr>
        <w:pStyle w:val="paragraph"/>
        <w:numPr>
          <w:ilvl w:val="1"/>
          <w:numId w:val="1"/>
        </w:numPr>
        <w:rPr>
          <w:rStyle w:val="normaltextrun1"/>
          <w:rFonts w:ascii="Arial" w:hAnsi="Arial" w:cs="Arial"/>
          <w:sz w:val="22"/>
        </w:rPr>
      </w:pPr>
      <w:r>
        <w:rPr>
          <w:rStyle w:val="normaltextrun1"/>
          <w:rFonts w:ascii="Arial" w:hAnsi="Arial" w:cs="Arial"/>
          <w:color w:val="000000"/>
          <w:sz w:val="22"/>
          <w:szCs w:val="22"/>
        </w:rPr>
        <w:t xml:space="preserve">Those authorities affected by ‘negative RSG’ will welcome the Government’s proposal to cancel the adjustment </w:t>
      </w:r>
      <w:r w:rsidR="00547715">
        <w:rPr>
          <w:rStyle w:val="normaltextrun1"/>
          <w:rFonts w:ascii="Arial" w:hAnsi="Arial" w:cs="Arial"/>
          <w:color w:val="000000"/>
          <w:sz w:val="22"/>
          <w:szCs w:val="22"/>
        </w:rPr>
        <w:t xml:space="preserve">to top-ups and tariffs </w:t>
      </w:r>
      <w:r>
        <w:rPr>
          <w:rStyle w:val="normaltextrun1"/>
          <w:rFonts w:ascii="Arial" w:hAnsi="Arial" w:cs="Arial"/>
          <w:color w:val="000000"/>
          <w:sz w:val="22"/>
          <w:szCs w:val="22"/>
        </w:rPr>
        <w:t>in the 2019/20 settlement, meaning the ‘negative RSG’ will be paid for from central government resources.</w:t>
      </w:r>
      <w:r w:rsidR="002258A8">
        <w:rPr>
          <w:rStyle w:val="eop"/>
          <w:rFonts w:ascii="Arial" w:hAnsi="Arial" w:cs="Arial"/>
          <w:color w:val="000000"/>
          <w:sz w:val="22"/>
          <w:szCs w:val="22"/>
          <w:lang w:val="en-US"/>
        </w:rPr>
        <w:t xml:space="preserve">  </w:t>
      </w:r>
      <w:r w:rsidR="0022480C" w:rsidRPr="0022480C">
        <w:rPr>
          <w:rStyle w:val="normaltextrun1"/>
          <w:rFonts w:ascii="Arial" w:hAnsi="Arial" w:cs="Arial"/>
          <w:sz w:val="22"/>
        </w:rPr>
        <w:t>However, all councils face significant funding pressures and huge financial uncertainty over the next few y</w:t>
      </w:r>
      <w:r w:rsidR="00CC0017">
        <w:rPr>
          <w:rStyle w:val="normaltextrun1"/>
          <w:rFonts w:ascii="Arial" w:hAnsi="Arial" w:cs="Arial"/>
          <w:sz w:val="22"/>
        </w:rPr>
        <w:t>ears and into the next decade. </w:t>
      </w:r>
      <w:r w:rsidR="0022480C" w:rsidRPr="0022480C">
        <w:rPr>
          <w:rStyle w:val="normaltextrun1"/>
          <w:rFonts w:ascii="Arial" w:hAnsi="Arial" w:cs="Arial"/>
          <w:sz w:val="22"/>
        </w:rPr>
        <w:t xml:space="preserve">The LGA will look to the </w:t>
      </w:r>
      <w:r w:rsidR="002258A8">
        <w:rPr>
          <w:rStyle w:val="normaltextrun1"/>
          <w:rFonts w:ascii="Arial" w:hAnsi="Arial" w:cs="Arial"/>
          <w:sz w:val="22"/>
        </w:rPr>
        <w:t xml:space="preserve">Autumn Budget, 2019/20 </w:t>
      </w:r>
      <w:r w:rsidR="007270C3">
        <w:rPr>
          <w:rStyle w:val="normaltextrun1"/>
          <w:rFonts w:ascii="Arial" w:hAnsi="Arial" w:cs="Arial"/>
          <w:sz w:val="22"/>
        </w:rPr>
        <w:t>local</w:t>
      </w:r>
      <w:r w:rsidR="002258A8">
        <w:rPr>
          <w:rStyle w:val="normaltextrun1"/>
          <w:rFonts w:ascii="Arial" w:hAnsi="Arial" w:cs="Arial"/>
          <w:sz w:val="22"/>
        </w:rPr>
        <w:t xml:space="preserve"> government finance settlement and the 2019</w:t>
      </w:r>
      <w:r w:rsidR="0022480C" w:rsidRPr="0022480C">
        <w:rPr>
          <w:rStyle w:val="normaltextrun1"/>
          <w:rFonts w:ascii="Arial" w:hAnsi="Arial" w:cs="Arial"/>
          <w:sz w:val="22"/>
        </w:rPr>
        <w:t xml:space="preserve"> Spending Review for a settlement which is sufficient and fair to all authorities. </w:t>
      </w:r>
    </w:p>
    <w:p w14:paraId="740A9276" w14:textId="77777777" w:rsidR="00114A81" w:rsidRDefault="00114A81" w:rsidP="00114A81">
      <w:pPr>
        <w:pStyle w:val="paragraph"/>
        <w:jc w:val="both"/>
        <w:textAlignment w:val="baseline"/>
        <w:rPr>
          <w:rFonts w:ascii="Arial" w:hAnsi="Arial" w:cs="Arial"/>
          <w:color w:val="000000"/>
          <w:sz w:val="22"/>
          <w:szCs w:val="22"/>
          <w:lang w:val="en-US"/>
        </w:rPr>
      </w:pPr>
      <w:r>
        <w:rPr>
          <w:rStyle w:val="eop"/>
          <w:rFonts w:ascii="Arial" w:hAnsi="Arial" w:cs="Arial"/>
          <w:color w:val="000000"/>
          <w:sz w:val="22"/>
          <w:szCs w:val="22"/>
          <w:lang w:val="en-US"/>
        </w:rPr>
        <w:t> </w:t>
      </w:r>
    </w:p>
    <w:p w14:paraId="54A1BED7" w14:textId="0F400AE2" w:rsidR="00114A81" w:rsidRDefault="00114A81" w:rsidP="0022480C">
      <w:pPr>
        <w:pStyle w:val="paragraph"/>
        <w:numPr>
          <w:ilvl w:val="1"/>
          <w:numId w:val="1"/>
        </w:numPr>
        <w:jc w:val="both"/>
        <w:textAlignment w:val="baseline"/>
        <w:rPr>
          <w:rFonts w:ascii="Arial" w:hAnsi="Arial" w:cs="Arial"/>
          <w:color w:val="000000"/>
          <w:sz w:val="22"/>
          <w:szCs w:val="22"/>
          <w:lang w:val="en-US"/>
        </w:rPr>
      </w:pPr>
      <w:r>
        <w:rPr>
          <w:rStyle w:val="normaltextrun1"/>
          <w:rFonts w:ascii="Arial" w:hAnsi="Arial" w:cs="Arial"/>
          <w:color w:val="000000"/>
          <w:sz w:val="22"/>
          <w:szCs w:val="22"/>
        </w:rPr>
        <w:t xml:space="preserve">We would urge the Government not to increase the New Homes Bonus threshold. This would risk putting the brakes on housebuilding schemes and growth-boosting projects at a time when </w:t>
      </w:r>
      <w:r w:rsidR="00C22577">
        <w:rPr>
          <w:rStyle w:val="normaltextrun1"/>
          <w:rFonts w:ascii="Arial" w:hAnsi="Arial" w:cs="Arial"/>
          <w:color w:val="000000"/>
          <w:sz w:val="22"/>
          <w:szCs w:val="22"/>
        </w:rPr>
        <w:t xml:space="preserve">the </w:t>
      </w:r>
      <w:r>
        <w:rPr>
          <w:rStyle w:val="normaltextrun1"/>
          <w:rFonts w:ascii="Arial" w:hAnsi="Arial" w:cs="Arial"/>
          <w:color w:val="000000"/>
          <w:sz w:val="22"/>
          <w:szCs w:val="22"/>
        </w:rPr>
        <w:t>housing shortage is one of the biggest challenges facing the nation and it would further exacerbate the financial challenges facing some councils.</w:t>
      </w:r>
      <w:r>
        <w:rPr>
          <w:rStyle w:val="eop"/>
          <w:rFonts w:ascii="Arial" w:hAnsi="Arial" w:cs="Arial"/>
          <w:color w:val="000000"/>
          <w:sz w:val="22"/>
          <w:szCs w:val="22"/>
          <w:lang w:val="en-US"/>
        </w:rPr>
        <w:t> </w:t>
      </w:r>
      <w:r w:rsidR="0022480C" w:rsidRPr="0022480C">
        <w:rPr>
          <w:rStyle w:val="eop"/>
          <w:rFonts w:ascii="Arial" w:hAnsi="Arial" w:cs="Arial"/>
          <w:color w:val="000000"/>
          <w:sz w:val="22"/>
          <w:szCs w:val="22"/>
          <w:lang w:val="en-US"/>
        </w:rPr>
        <w:t>Authorities with New Homes Bonus income will also be concerned at the lack of certainty over the Bonus in 2020/21 and in future years.</w:t>
      </w:r>
    </w:p>
    <w:p w14:paraId="7B080864" w14:textId="77777777" w:rsidR="00CC0017" w:rsidRDefault="00CC0017" w:rsidP="00720BE8">
      <w:pPr>
        <w:rPr>
          <w:rFonts w:ascii="Arial" w:hAnsi="Arial" w:cs="Arial"/>
          <w:b/>
          <w:bCs/>
        </w:rPr>
      </w:pPr>
    </w:p>
    <w:p w14:paraId="045C53B0" w14:textId="402544B9" w:rsidR="00512032" w:rsidRDefault="00512032" w:rsidP="00720BE8">
      <w:pPr>
        <w:rPr>
          <w:rFonts w:ascii="Arial" w:hAnsi="Arial" w:cs="Arial"/>
          <w:b/>
          <w:bCs/>
        </w:rPr>
      </w:pPr>
      <w:r>
        <w:rPr>
          <w:rFonts w:ascii="Arial" w:hAnsi="Arial" w:cs="Arial"/>
          <w:b/>
          <w:bCs/>
        </w:rPr>
        <w:t>Appendices</w:t>
      </w:r>
    </w:p>
    <w:p w14:paraId="6BB95601" w14:textId="77777777" w:rsidR="00512032" w:rsidRDefault="00512032" w:rsidP="00720BE8">
      <w:pPr>
        <w:rPr>
          <w:rFonts w:ascii="Arial" w:hAnsi="Arial" w:cs="Arial"/>
          <w:b/>
          <w:bCs/>
        </w:rPr>
      </w:pPr>
    </w:p>
    <w:p w14:paraId="028A9468" w14:textId="6A1D754F" w:rsidR="00512032" w:rsidRPr="00512032" w:rsidRDefault="00512032" w:rsidP="00512032">
      <w:pPr>
        <w:pStyle w:val="ListParagraph"/>
        <w:numPr>
          <w:ilvl w:val="0"/>
          <w:numId w:val="1"/>
        </w:numPr>
        <w:rPr>
          <w:rFonts w:ascii="Arial" w:hAnsi="Arial" w:cs="Arial"/>
          <w:bCs/>
        </w:rPr>
      </w:pPr>
      <w:r w:rsidRPr="008436EE">
        <w:rPr>
          <w:rFonts w:ascii="Arial" w:hAnsi="Arial" w:cs="Arial"/>
          <w:b/>
          <w:bCs/>
          <w:u w:val="single"/>
        </w:rPr>
        <w:t>Appendix 1</w:t>
      </w:r>
      <w:r w:rsidRPr="00512032">
        <w:rPr>
          <w:rFonts w:ascii="Arial" w:hAnsi="Arial" w:cs="Arial"/>
          <w:bCs/>
        </w:rPr>
        <w:t xml:space="preserve"> – Draft response to </w:t>
      </w:r>
      <w:proofErr w:type="spellStart"/>
      <w:r w:rsidRPr="00512032">
        <w:rPr>
          <w:rFonts w:ascii="Arial" w:hAnsi="Arial" w:cs="Arial"/>
        </w:rPr>
        <w:t>to</w:t>
      </w:r>
      <w:proofErr w:type="spellEnd"/>
      <w:r w:rsidRPr="00512032">
        <w:rPr>
          <w:rFonts w:ascii="Arial" w:hAnsi="Arial" w:cs="Arial"/>
        </w:rPr>
        <w:t xml:space="preserve"> the MHCLG </w:t>
      </w:r>
      <w:hyperlink r:id="rId16" w:history="1">
        <w:r w:rsidRPr="00512032">
          <w:rPr>
            <w:rStyle w:val="Hyperlink"/>
            <w:rFonts w:ascii="Arial" w:hAnsi="Arial" w:cs="Arial"/>
          </w:rPr>
          <w:t>technical consultation</w:t>
        </w:r>
      </w:hyperlink>
      <w:r w:rsidRPr="00512032">
        <w:rPr>
          <w:rFonts w:ascii="Arial" w:hAnsi="Arial" w:cs="Arial"/>
        </w:rPr>
        <w:t xml:space="preserve"> on the 2019/20 local government finance settlement.</w:t>
      </w:r>
    </w:p>
    <w:p w14:paraId="2D1E895F" w14:textId="77777777" w:rsidR="00F64992" w:rsidRPr="008436EE" w:rsidRDefault="00F64992" w:rsidP="008436EE">
      <w:pPr>
        <w:rPr>
          <w:rFonts w:ascii="Arial" w:hAnsi="Arial" w:cs="Arial"/>
          <w:b/>
          <w:bCs/>
        </w:rPr>
      </w:pPr>
    </w:p>
    <w:p w14:paraId="1CAC3322" w14:textId="77777777" w:rsidR="004C3803" w:rsidRPr="002048CA" w:rsidRDefault="004C3803" w:rsidP="00720BE8">
      <w:pPr>
        <w:rPr>
          <w:rFonts w:ascii="Arial" w:hAnsi="Arial" w:cs="Arial"/>
          <w:b/>
          <w:bCs/>
        </w:rPr>
      </w:pPr>
      <w:r w:rsidRPr="0B50786C">
        <w:rPr>
          <w:rFonts w:ascii="Arial" w:hAnsi="Arial" w:cs="Arial"/>
          <w:b/>
          <w:bCs/>
        </w:rPr>
        <w:t xml:space="preserve">Implications for Wales </w:t>
      </w:r>
    </w:p>
    <w:p w14:paraId="153258F9" w14:textId="77777777" w:rsidR="004C3803" w:rsidRPr="002048CA" w:rsidRDefault="004C3803" w:rsidP="00720BE8">
      <w:pPr>
        <w:rPr>
          <w:rFonts w:ascii="Arial" w:hAnsi="Arial" w:cs="Arial"/>
          <w:b/>
          <w:szCs w:val="22"/>
        </w:rPr>
      </w:pPr>
    </w:p>
    <w:p w14:paraId="478C1615" w14:textId="26EE3D9F" w:rsidR="004C3803" w:rsidRPr="002048CA" w:rsidRDefault="004C3803" w:rsidP="00720BE8">
      <w:pPr>
        <w:pStyle w:val="ListParagraph"/>
        <w:numPr>
          <w:ilvl w:val="0"/>
          <w:numId w:val="1"/>
        </w:numPr>
        <w:contextualSpacing/>
        <w:rPr>
          <w:rFonts w:ascii="Arial" w:hAnsi="Arial" w:cs="Arial"/>
        </w:rPr>
      </w:pPr>
      <w:r w:rsidRPr="0B50786C">
        <w:rPr>
          <w:rFonts w:ascii="Arial" w:hAnsi="Arial" w:cs="Arial"/>
        </w:rPr>
        <w:t>There are no direct implications for Wales arising from this report. The</w:t>
      </w:r>
      <w:r>
        <w:rPr>
          <w:rFonts w:ascii="Arial" w:hAnsi="Arial" w:cs="Arial"/>
        </w:rPr>
        <w:t xml:space="preserve"> distribution of funding to</w:t>
      </w:r>
      <w:r w:rsidRPr="0B50786C">
        <w:rPr>
          <w:rFonts w:ascii="Arial" w:hAnsi="Arial" w:cs="Arial"/>
        </w:rPr>
        <w:t xml:space="preserve"> Welsh local authorities</w:t>
      </w:r>
      <w:r w:rsidR="00504406">
        <w:rPr>
          <w:rFonts w:ascii="Arial" w:hAnsi="Arial" w:cs="Arial"/>
        </w:rPr>
        <w:t>,</w:t>
      </w:r>
      <w:r w:rsidRPr="0B50786C">
        <w:rPr>
          <w:rFonts w:ascii="Arial" w:hAnsi="Arial" w:cs="Arial"/>
        </w:rPr>
        <w:t xml:space="preserve"> is a devolved matter in Wales.</w:t>
      </w:r>
    </w:p>
    <w:p w14:paraId="579D41E3" w14:textId="77777777" w:rsidR="004C3803" w:rsidRDefault="004C3803" w:rsidP="00720BE8">
      <w:pPr>
        <w:contextualSpacing/>
        <w:rPr>
          <w:rFonts w:ascii="Arial" w:hAnsi="Arial" w:cs="Arial"/>
          <w:b/>
          <w:bCs/>
        </w:rPr>
      </w:pPr>
    </w:p>
    <w:p w14:paraId="2FC047B6" w14:textId="6E294911" w:rsidR="00483785" w:rsidRPr="002048CA" w:rsidRDefault="0B50786C" w:rsidP="00720BE8">
      <w:pPr>
        <w:contextualSpacing/>
        <w:rPr>
          <w:rFonts w:ascii="Arial" w:hAnsi="Arial" w:cs="Arial"/>
          <w:b/>
          <w:bCs/>
        </w:rPr>
      </w:pPr>
      <w:r w:rsidRPr="0B50786C">
        <w:rPr>
          <w:rFonts w:ascii="Arial" w:hAnsi="Arial" w:cs="Arial"/>
          <w:b/>
          <w:bCs/>
        </w:rPr>
        <w:lastRenderedPageBreak/>
        <w:t>Financial implications</w:t>
      </w:r>
    </w:p>
    <w:p w14:paraId="2813BCB3" w14:textId="77777777" w:rsidR="00504406" w:rsidRDefault="00504406" w:rsidP="00504406">
      <w:pPr>
        <w:pStyle w:val="ListParagraph"/>
        <w:ind w:left="360"/>
        <w:contextualSpacing/>
        <w:rPr>
          <w:rFonts w:ascii="Arial" w:hAnsi="Arial" w:cs="Arial"/>
        </w:rPr>
      </w:pPr>
    </w:p>
    <w:p w14:paraId="19931BD3" w14:textId="2F1F6986" w:rsidR="00350F19" w:rsidRPr="000D2320" w:rsidRDefault="003A1A89" w:rsidP="002E03F5">
      <w:pPr>
        <w:pStyle w:val="ListParagraph"/>
        <w:numPr>
          <w:ilvl w:val="0"/>
          <w:numId w:val="1"/>
        </w:numPr>
        <w:contextualSpacing/>
        <w:rPr>
          <w:rFonts w:ascii="Arial" w:hAnsi="Arial" w:cs="Arial"/>
          <w:b/>
        </w:rPr>
      </w:pPr>
      <w:r>
        <w:rPr>
          <w:rFonts w:ascii="Arial" w:hAnsi="Arial" w:cs="Arial"/>
        </w:rPr>
        <w:t xml:space="preserve">The </w:t>
      </w:r>
      <w:r w:rsidR="0B50786C" w:rsidRPr="0B50786C">
        <w:rPr>
          <w:rFonts w:ascii="Arial" w:hAnsi="Arial" w:cs="Arial"/>
        </w:rPr>
        <w:t xml:space="preserve">work </w:t>
      </w:r>
      <w:r w:rsidR="00935031">
        <w:rPr>
          <w:rFonts w:ascii="Arial" w:hAnsi="Arial" w:cs="Arial"/>
        </w:rPr>
        <w:t xml:space="preserve">outlined in the paper above </w:t>
      </w:r>
      <w:r w:rsidR="0B50786C" w:rsidRPr="0B50786C">
        <w:rPr>
          <w:rFonts w:ascii="Arial" w:hAnsi="Arial" w:cs="Arial"/>
        </w:rPr>
        <w:t>is part of the LGA’s core programme of work and as such has been budgeted for in 2017/18</w:t>
      </w:r>
      <w:r w:rsidR="002F298F">
        <w:rPr>
          <w:rFonts w:ascii="Arial" w:hAnsi="Arial" w:cs="Arial"/>
        </w:rPr>
        <w:t xml:space="preserve"> and 2018/19</w:t>
      </w:r>
      <w:r w:rsidR="0B50786C" w:rsidRPr="0B50786C">
        <w:rPr>
          <w:rFonts w:ascii="Arial" w:hAnsi="Arial" w:cs="Arial"/>
        </w:rPr>
        <w:t xml:space="preserve"> budgets.</w:t>
      </w:r>
    </w:p>
    <w:p w14:paraId="2FAE4D43" w14:textId="77777777" w:rsidR="000D2320" w:rsidRPr="000D2320" w:rsidRDefault="000D2320" w:rsidP="000D2320">
      <w:pPr>
        <w:pStyle w:val="ListParagraph"/>
        <w:ind w:left="360"/>
        <w:contextualSpacing/>
        <w:rPr>
          <w:rFonts w:ascii="Arial" w:hAnsi="Arial" w:cs="Arial"/>
          <w:b/>
        </w:rPr>
      </w:pPr>
    </w:p>
    <w:p w14:paraId="20CC4338" w14:textId="77777777" w:rsidR="000D2320" w:rsidRDefault="000D2320" w:rsidP="000D2320">
      <w:pPr>
        <w:rPr>
          <w:rFonts w:ascii="Arial" w:hAnsi="Arial" w:cs="Arial"/>
          <w:b/>
        </w:rPr>
      </w:pPr>
      <w:r>
        <w:rPr>
          <w:rFonts w:ascii="Arial" w:hAnsi="Arial" w:cs="Arial"/>
          <w:b/>
        </w:rPr>
        <w:t>Next Steps</w:t>
      </w:r>
    </w:p>
    <w:p w14:paraId="573B8359" w14:textId="77777777" w:rsidR="000D2320" w:rsidRDefault="000D2320" w:rsidP="000D2320"/>
    <w:p w14:paraId="62F245E3" w14:textId="2630303D" w:rsidR="000D2320" w:rsidRPr="008436EE" w:rsidRDefault="000D2320" w:rsidP="000D2320">
      <w:pPr>
        <w:pStyle w:val="MainText"/>
        <w:numPr>
          <w:ilvl w:val="0"/>
          <w:numId w:val="1"/>
        </w:numPr>
        <w:spacing w:line="240" w:lineRule="auto"/>
        <w:jc w:val="both"/>
        <w:rPr>
          <w:rFonts w:ascii="Arial" w:hAnsi="Arial" w:cs="Arial"/>
        </w:rPr>
      </w:pPr>
      <w:r>
        <w:rPr>
          <w:rFonts w:ascii="Arial" w:hAnsi="Arial" w:cs="Arial"/>
        </w:rPr>
        <w:t>That Officers amend the draft response in the light of comments made and forward the finalised submission to MHCLG.</w:t>
      </w:r>
    </w:p>
    <w:sectPr w:rsidR="000D2320" w:rsidRPr="008436EE" w:rsidSect="002C70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7E040" w14:textId="77777777" w:rsidR="00C86237" w:rsidRDefault="00C86237">
      <w:r>
        <w:separator/>
      </w:r>
    </w:p>
  </w:endnote>
  <w:endnote w:type="continuationSeparator" w:id="0">
    <w:p w14:paraId="5B9630F8" w14:textId="77777777" w:rsidR="00C86237" w:rsidRDefault="00C86237">
      <w:r>
        <w:continuationSeparator/>
      </w:r>
    </w:p>
  </w:endnote>
  <w:endnote w:type="continuationNotice" w:id="1">
    <w:p w14:paraId="0628E6F8" w14:textId="77777777" w:rsidR="00C86237" w:rsidRDefault="00C86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28295E" w:rsidRDefault="0028295E">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27319" w14:textId="77777777" w:rsidR="00C86237" w:rsidRDefault="00C86237">
      <w:r>
        <w:separator/>
      </w:r>
    </w:p>
  </w:footnote>
  <w:footnote w:type="continuationSeparator" w:id="0">
    <w:p w14:paraId="7B1A2138" w14:textId="77777777" w:rsidR="00C86237" w:rsidRDefault="00C86237">
      <w:r>
        <w:continuationSeparator/>
      </w:r>
    </w:p>
  </w:footnote>
  <w:footnote w:type="continuationNotice" w:id="1">
    <w:p w14:paraId="2EE811E2" w14:textId="77777777" w:rsidR="00C86237" w:rsidRDefault="00C86237"/>
  </w:footnote>
  <w:footnote w:id="2">
    <w:p w14:paraId="54F0A51A" w14:textId="4710849A" w:rsidR="0028295E" w:rsidRDefault="0028295E">
      <w:pPr>
        <w:pStyle w:val="FootnoteText"/>
      </w:pPr>
      <w:r>
        <w:rPr>
          <w:rStyle w:val="FootnoteReference"/>
        </w:rPr>
        <w:footnoteRef/>
      </w:r>
      <w:r>
        <w:t xml:space="preserve"> </w:t>
      </w:r>
      <w:r w:rsidRPr="00CC0017">
        <w:rPr>
          <w:rFonts w:ascii="Arial" w:hAnsi="Arial" w:cs="Arial"/>
        </w:rPr>
        <w:t>The West of England Mayoral Combined Authority has no powers to raise a precept</w:t>
      </w:r>
      <w:r w:rsidR="0007605D">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77777777" w:rsidR="0028295E" w:rsidRDefault="0028295E">
    <w:pPr>
      <w:pStyle w:val="Header"/>
      <w:rPr>
        <w:rFonts w:ascii="Arial" w:hAnsi="Arial" w:cs="Arial"/>
      </w:rPr>
    </w:pPr>
  </w:p>
  <w:tbl>
    <w:tblPr>
      <w:tblW w:w="0" w:type="auto"/>
      <w:tblLook w:val="01E0" w:firstRow="1" w:lastRow="1" w:firstColumn="1" w:lastColumn="1" w:noHBand="0" w:noVBand="0"/>
    </w:tblPr>
    <w:tblGrid>
      <w:gridCol w:w="5849"/>
      <w:gridCol w:w="3222"/>
    </w:tblGrid>
    <w:tr w:rsidR="00CC0017" w:rsidRPr="004F266E" w14:paraId="40F95943" w14:textId="77777777" w:rsidTr="00C00347">
      <w:tc>
        <w:tcPr>
          <w:tcW w:w="5920" w:type="dxa"/>
          <w:vMerge w:val="restart"/>
          <w:shd w:val="clear" w:color="auto" w:fill="auto"/>
        </w:tcPr>
        <w:p w14:paraId="5FEC36DB" w14:textId="77777777" w:rsidR="00CC0017" w:rsidRPr="00374227" w:rsidRDefault="00CC0017" w:rsidP="00CC0017">
          <w:pPr>
            <w:pStyle w:val="Header"/>
            <w:tabs>
              <w:tab w:val="clear" w:pos="4153"/>
              <w:tab w:val="clear" w:pos="8306"/>
              <w:tab w:val="center" w:pos="2923"/>
            </w:tabs>
          </w:pPr>
          <w:r>
            <w:rPr>
              <w:noProof/>
            </w:rPr>
            <w:drawing>
              <wp:inline distT="0" distB="0" distL="0" distR="0" wp14:anchorId="2965BF56" wp14:editId="3F6A1524">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04014D26" w14:textId="77777777" w:rsidR="00CC0017" w:rsidRPr="00E7702B" w:rsidRDefault="00CC0017" w:rsidP="00CC0017">
          <w:pPr>
            <w:pStyle w:val="Header"/>
            <w:rPr>
              <w:rFonts w:ascii="Arial" w:hAnsi="Arial" w:cs="Arial"/>
              <w:b/>
              <w:bCs/>
              <w:i/>
              <w:iCs/>
            </w:rPr>
          </w:pPr>
          <w:r w:rsidRPr="0B50786C">
            <w:rPr>
              <w:rFonts w:ascii="Arial" w:hAnsi="Arial" w:cs="Arial"/>
              <w:b/>
              <w:bCs/>
            </w:rPr>
            <w:t xml:space="preserve">LGA </w:t>
          </w:r>
          <w:r>
            <w:rPr>
              <w:rFonts w:ascii="Arial" w:hAnsi="Arial" w:cs="Arial"/>
              <w:b/>
              <w:bCs/>
            </w:rPr>
            <w:t>Leadership</w:t>
          </w:r>
          <w:r w:rsidRPr="0B50786C">
            <w:rPr>
              <w:rFonts w:ascii="Arial" w:hAnsi="Arial" w:cs="Arial"/>
              <w:b/>
              <w:bCs/>
            </w:rPr>
            <w:t xml:space="preserve"> Board</w:t>
          </w:r>
          <w:r w:rsidRPr="0B50786C">
            <w:rPr>
              <w:rFonts w:ascii="Arial" w:hAnsi="Arial" w:cs="Arial"/>
              <w:i/>
              <w:iCs/>
            </w:rPr>
            <w:t xml:space="preserve"> </w:t>
          </w:r>
        </w:p>
      </w:tc>
    </w:tr>
    <w:tr w:rsidR="00CC0017" w14:paraId="2513556C" w14:textId="77777777" w:rsidTr="00C00347">
      <w:trPr>
        <w:trHeight w:val="450"/>
      </w:trPr>
      <w:tc>
        <w:tcPr>
          <w:tcW w:w="5920" w:type="dxa"/>
          <w:vMerge/>
          <w:shd w:val="clear" w:color="auto" w:fill="auto"/>
        </w:tcPr>
        <w:p w14:paraId="38E22A7E" w14:textId="77777777" w:rsidR="00CC0017" w:rsidRPr="00374227" w:rsidRDefault="00CC0017" w:rsidP="00CC0017">
          <w:pPr>
            <w:pStyle w:val="Header"/>
          </w:pPr>
        </w:p>
      </w:tc>
      <w:tc>
        <w:tcPr>
          <w:tcW w:w="3260" w:type="dxa"/>
          <w:shd w:val="clear" w:color="auto" w:fill="auto"/>
          <w:vAlign w:val="center"/>
        </w:tcPr>
        <w:p w14:paraId="578504BB" w14:textId="77777777" w:rsidR="00CC0017" w:rsidRPr="00374227" w:rsidRDefault="00CC0017" w:rsidP="00CC0017">
          <w:pPr>
            <w:pStyle w:val="Header"/>
            <w:spacing w:before="60"/>
            <w:rPr>
              <w:rFonts w:ascii="Arial" w:hAnsi="Arial" w:cs="Arial"/>
            </w:rPr>
          </w:pPr>
          <w:r>
            <w:rPr>
              <w:rFonts w:ascii="Arial" w:hAnsi="Arial" w:cs="Arial"/>
            </w:rPr>
            <w:t xml:space="preserve">12 September </w:t>
          </w:r>
          <w:r w:rsidRPr="0B50786C">
            <w:rPr>
              <w:rFonts w:ascii="Arial" w:hAnsi="Arial" w:cs="Arial"/>
            </w:rPr>
            <w:t xml:space="preserve">2018 </w:t>
          </w:r>
        </w:p>
      </w:tc>
    </w:tr>
    <w:tr w:rsidR="00CC0017" w:rsidRPr="004F266E" w14:paraId="45C17301" w14:textId="77777777" w:rsidTr="00C00347">
      <w:trPr>
        <w:trHeight w:val="708"/>
      </w:trPr>
      <w:tc>
        <w:tcPr>
          <w:tcW w:w="5920" w:type="dxa"/>
          <w:vMerge/>
          <w:shd w:val="clear" w:color="auto" w:fill="auto"/>
        </w:tcPr>
        <w:p w14:paraId="71C0E1C1" w14:textId="77777777" w:rsidR="00CC0017" w:rsidRPr="00374227" w:rsidRDefault="00CC0017" w:rsidP="00CC0017">
          <w:pPr>
            <w:pStyle w:val="Header"/>
          </w:pPr>
        </w:p>
      </w:tc>
      <w:tc>
        <w:tcPr>
          <w:tcW w:w="3260" w:type="dxa"/>
          <w:shd w:val="clear" w:color="auto" w:fill="auto"/>
          <w:vAlign w:val="center"/>
        </w:tcPr>
        <w:p w14:paraId="0FA19AEF" w14:textId="63B9EA2E" w:rsidR="00CC0017" w:rsidRPr="00374227" w:rsidRDefault="00CC0017" w:rsidP="00CC0017">
          <w:pPr>
            <w:pStyle w:val="Header"/>
            <w:spacing w:before="60"/>
            <w:rPr>
              <w:rFonts w:ascii="Arial" w:hAnsi="Arial" w:cs="Arial"/>
              <w:b/>
              <w:bCs/>
            </w:rPr>
          </w:pPr>
        </w:p>
      </w:tc>
    </w:tr>
  </w:tbl>
  <w:p w14:paraId="7D772C52" w14:textId="77777777" w:rsidR="00CC0017" w:rsidRPr="0021114E" w:rsidRDefault="00CC001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28295E" w:rsidRDefault="0028295E" w:rsidP="00765850">
    <w:pPr>
      <w:pStyle w:val="Header"/>
      <w:rPr>
        <w:sz w:val="2"/>
      </w:rPr>
    </w:pPr>
  </w:p>
  <w:p w14:paraId="3E8322C2" w14:textId="77777777" w:rsidR="0028295E" w:rsidRDefault="0028295E"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28295E" w:rsidRPr="001D2C76" w14:paraId="3E8322C5" w14:textId="77777777" w:rsidTr="0B50786C">
      <w:tc>
        <w:tcPr>
          <w:tcW w:w="6062" w:type="dxa"/>
          <w:vMerge w:val="restart"/>
        </w:tcPr>
        <w:p w14:paraId="3E8322C3" w14:textId="77777777" w:rsidR="0028295E" w:rsidRDefault="0028295E"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28295E" w:rsidRPr="001D2C76" w:rsidRDefault="0028295E" w:rsidP="0B50786C">
          <w:pPr>
            <w:pStyle w:val="Header"/>
            <w:rPr>
              <w:b/>
              <w:bCs/>
            </w:rPr>
          </w:pPr>
          <w:r w:rsidRPr="0B50786C">
            <w:rPr>
              <w:rFonts w:ascii="Arial" w:hAnsi="Arial" w:cs="Arial"/>
              <w:b/>
              <w:bCs/>
              <w:sz w:val="24"/>
              <w:szCs w:val="24"/>
            </w:rPr>
            <w:t>Meeting title</w:t>
          </w:r>
        </w:p>
      </w:tc>
    </w:tr>
    <w:tr w:rsidR="0028295E" w14:paraId="3E8322C8" w14:textId="77777777" w:rsidTr="0B50786C">
      <w:trPr>
        <w:trHeight w:val="450"/>
      </w:trPr>
      <w:tc>
        <w:tcPr>
          <w:tcW w:w="6062" w:type="dxa"/>
          <w:vMerge/>
        </w:tcPr>
        <w:p w14:paraId="3E8322C6" w14:textId="77777777" w:rsidR="0028295E" w:rsidRDefault="0028295E" w:rsidP="00765850">
          <w:pPr>
            <w:pStyle w:val="Header"/>
          </w:pPr>
        </w:p>
      </w:tc>
      <w:tc>
        <w:tcPr>
          <w:tcW w:w="3225" w:type="dxa"/>
        </w:tcPr>
        <w:p w14:paraId="3E8322C7" w14:textId="77777777" w:rsidR="0028295E" w:rsidRDefault="0028295E" w:rsidP="00765850">
          <w:pPr>
            <w:pStyle w:val="Header"/>
            <w:spacing w:before="60"/>
          </w:pPr>
          <w:r w:rsidRPr="0B50786C">
            <w:rPr>
              <w:rFonts w:ascii="Arial" w:hAnsi="Arial" w:cs="Arial"/>
              <w:sz w:val="24"/>
              <w:szCs w:val="24"/>
            </w:rPr>
            <w:t xml:space="preserve">Meeting date </w:t>
          </w:r>
        </w:p>
      </w:tc>
    </w:tr>
    <w:tr w:rsidR="0028295E" w14:paraId="3E8322CC" w14:textId="77777777" w:rsidTr="0B50786C">
      <w:trPr>
        <w:trHeight w:val="450"/>
      </w:trPr>
      <w:tc>
        <w:tcPr>
          <w:tcW w:w="6062" w:type="dxa"/>
          <w:vMerge/>
        </w:tcPr>
        <w:p w14:paraId="3E8322C9" w14:textId="77777777" w:rsidR="0028295E" w:rsidRDefault="0028295E" w:rsidP="00765850">
          <w:pPr>
            <w:pStyle w:val="Header"/>
          </w:pPr>
        </w:p>
      </w:tc>
      <w:tc>
        <w:tcPr>
          <w:tcW w:w="3225" w:type="dxa"/>
        </w:tcPr>
        <w:p w14:paraId="3E8322CA" w14:textId="77777777" w:rsidR="0028295E" w:rsidRDefault="0028295E" w:rsidP="00765850">
          <w:pPr>
            <w:pStyle w:val="Header"/>
            <w:spacing w:before="60"/>
            <w:rPr>
              <w:rFonts w:ascii="Arial" w:hAnsi="Arial" w:cs="Arial"/>
              <w:b/>
              <w:sz w:val="24"/>
              <w:szCs w:val="24"/>
            </w:rPr>
          </w:pPr>
        </w:p>
        <w:p w14:paraId="3E8322CB" w14:textId="77777777" w:rsidR="0028295E" w:rsidRPr="00546D0D" w:rsidRDefault="0028295E"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28295E" w:rsidRDefault="0028295E"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0000B"/>
    <w:multiLevelType w:val="multilevel"/>
    <w:tmpl w:val="958A6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9"/>
  </w:num>
  <w:num w:numId="5">
    <w:abstractNumId w:val="3"/>
  </w:num>
  <w:num w:numId="6">
    <w:abstractNumId w:val="4"/>
  </w:num>
  <w:num w:numId="7">
    <w:abstractNumId w:val="12"/>
  </w:num>
  <w:num w:numId="8">
    <w:abstractNumId w:val="14"/>
  </w:num>
  <w:num w:numId="9">
    <w:abstractNumId w:val="2"/>
  </w:num>
  <w:num w:numId="10">
    <w:abstractNumId w:val="0"/>
  </w:num>
  <w:num w:numId="11">
    <w:abstractNumId w:val="7"/>
  </w:num>
  <w:num w:numId="12">
    <w:abstractNumId w:val="15"/>
  </w:num>
  <w:num w:numId="13">
    <w:abstractNumId w:val="10"/>
  </w:num>
  <w:num w:numId="14">
    <w:abstractNumId w:val="6"/>
  </w:num>
  <w:num w:numId="15">
    <w:abstractNumId w:val="5"/>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58FF"/>
    <w:rsid w:val="000111D5"/>
    <w:rsid w:val="00026B5D"/>
    <w:rsid w:val="00026EF5"/>
    <w:rsid w:val="00033D53"/>
    <w:rsid w:val="00042EF9"/>
    <w:rsid w:val="00067371"/>
    <w:rsid w:val="00067747"/>
    <w:rsid w:val="000711BA"/>
    <w:rsid w:val="0007605D"/>
    <w:rsid w:val="00084A70"/>
    <w:rsid w:val="0009056D"/>
    <w:rsid w:val="00095858"/>
    <w:rsid w:val="000A569E"/>
    <w:rsid w:val="000A6A40"/>
    <w:rsid w:val="000A6C09"/>
    <w:rsid w:val="000B161F"/>
    <w:rsid w:val="000C7673"/>
    <w:rsid w:val="000D0A55"/>
    <w:rsid w:val="000D2320"/>
    <w:rsid w:val="000D55A8"/>
    <w:rsid w:val="000D6822"/>
    <w:rsid w:val="000D7B6D"/>
    <w:rsid w:val="000E0DE9"/>
    <w:rsid w:val="000E3D0C"/>
    <w:rsid w:val="000F0A18"/>
    <w:rsid w:val="000F1763"/>
    <w:rsid w:val="000F1E6D"/>
    <w:rsid w:val="00100A00"/>
    <w:rsid w:val="00105469"/>
    <w:rsid w:val="00106D53"/>
    <w:rsid w:val="0010744B"/>
    <w:rsid w:val="00110E60"/>
    <w:rsid w:val="001125B0"/>
    <w:rsid w:val="001140F5"/>
    <w:rsid w:val="00114A81"/>
    <w:rsid w:val="00122698"/>
    <w:rsid w:val="00123DEB"/>
    <w:rsid w:val="00124A4F"/>
    <w:rsid w:val="00127554"/>
    <w:rsid w:val="001447C2"/>
    <w:rsid w:val="001465B1"/>
    <w:rsid w:val="0016436C"/>
    <w:rsid w:val="00166569"/>
    <w:rsid w:val="00171294"/>
    <w:rsid w:val="001734D0"/>
    <w:rsid w:val="00184A63"/>
    <w:rsid w:val="001851DA"/>
    <w:rsid w:val="00185D5B"/>
    <w:rsid w:val="00187AE6"/>
    <w:rsid w:val="00194078"/>
    <w:rsid w:val="001A6AE0"/>
    <w:rsid w:val="001B029E"/>
    <w:rsid w:val="001B324E"/>
    <w:rsid w:val="001B36CE"/>
    <w:rsid w:val="001B7024"/>
    <w:rsid w:val="001C0CBC"/>
    <w:rsid w:val="001C5324"/>
    <w:rsid w:val="001D1A36"/>
    <w:rsid w:val="001D3398"/>
    <w:rsid w:val="001E2520"/>
    <w:rsid w:val="001E3994"/>
    <w:rsid w:val="001E48D5"/>
    <w:rsid w:val="001E720D"/>
    <w:rsid w:val="001F1FF1"/>
    <w:rsid w:val="001F6C3D"/>
    <w:rsid w:val="00201574"/>
    <w:rsid w:val="002048CA"/>
    <w:rsid w:val="00207E80"/>
    <w:rsid w:val="002110E9"/>
    <w:rsid w:val="00212C88"/>
    <w:rsid w:val="00215E14"/>
    <w:rsid w:val="0022303A"/>
    <w:rsid w:val="0022480C"/>
    <w:rsid w:val="002258A8"/>
    <w:rsid w:val="00233856"/>
    <w:rsid w:val="00240039"/>
    <w:rsid w:val="0024032C"/>
    <w:rsid w:val="00243DF2"/>
    <w:rsid w:val="00245629"/>
    <w:rsid w:val="00256711"/>
    <w:rsid w:val="00260CD7"/>
    <w:rsid w:val="002619D2"/>
    <w:rsid w:val="002634A5"/>
    <w:rsid w:val="00272225"/>
    <w:rsid w:val="002729D3"/>
    <w:rsid w:val="00277752"/>
    <w:rsid w:val="0028295E"/>
    <w:rsid w:val="002836B5"/>
    <w:rsid w:val="00285AEF"/>
    <w:rsid w:val="00286431"/>
    <w:rsid w:val="00286B42"/>
    <w:rsid w:val="00290D12"/>
    <w:rsid w:val="002917B4"/>
    <w:rsid w:val="002A2A17"/>
    <w:rsid w:val="002A575E"/>
    <w:rsid w:val="002B3BAF"/>
    <w:rsid w:val="002B42C7"/>
    <w:rsid w:val="002B5F33"/>
    <w:rsid w:val="002C5922"/>
    <w:rsid w:val="002C7039"/>
    <w:rsid w:val="002D0677"/>
    <w:rsid w:val="002D1196"/>
    <w:rsid w:val="002E03F5"/>
    <w:rsid w:val="002F298F"/>
    <w:rsid w:val="00301EED"/>
    <w:rsid w:val="003068BE"/>
    <w:rsid w:val="00307F8D"/>
    <w:rsid w:val="00322431"/>
    <w:rsid w:val="00350F19"/>
    <w:rsid w:val="003575A3"/>
    <w:rsid w:val="00357639"/>
    <w:rsid w:val="00360C2E"/>
    <w:rsid w:val="00361686"/>
    <w:rsid w:val="00363AAD"/>
    <w:rsid w:val="003762EC"/>
    <w:rsid w:val="003826F4"/>
    <w:rsid w:val="00397BC9"/>
    <w:rsid w:val="003A1A89"/>
    <w:rsid w:val="003A6E6B"/>
    <w:rsid w:val="003B32C9"/>
    <w:rsid w:val="003B5F85"/>
    <w:rsid w:val="003C466D"/>
    <w:rsid w:val="003D341C"/>
    <w:rsid w:val="003D4A35"/>
    <w:rsid w:val="003E6D13"/>
    <w:rsid w:val="003F1439"/>
    <w:rsid w:val="003F7EB3"/>
    <w:rsid w:val="004014F2"/>
    <w:rsid w:val="0040343D"/>
    <w:rsid w:val="004066FB"/>
    <w:rsid w:val="00411BCD"/>
    <w:rsid w:val="00444B04"/>
    <w:rsid w:val="00447E86"/>
    <w:rsid w:val="00463758"/>
    <w:rsid w:val="004644FA"/>
    <w:rsid w:val="00464D1C"/>
    <w:rsid w:val="0046729B"/>
    <w:rsid w:val="00474EA7"/>
    <w:rsid w:val="00475908"/>
    <w:rsid w:val="00483785"/>
    <w:rsid w:val="004852BA"/>
    <w:rsid w:val="00493CE2"/>
    <w:rsid w:val="00496427"/>
    <w:rsid w:val="00496ABF"/>
    <w:rsid w:val="004A0786"/>
    <w:rsid w:val="004A1811"/>
    <w:rsid w:val="004A7598"/>
    <w:rsid w:val="004B329B"/>
    <w:rsid w:val="004B378B"/>
    <w:rsid w:val="004B3EE3"/>
    <w:rsid w:val="004B6713"/>
    <w:rsid w:val="004C3803"/>
    <w:rsid w:val="004D24B8"/>
    <w:rsid w:val="004D61C8"/>
    <w:rsid w:val="004D7461"/>
    <w:rsid w:val="004E48FC"/>
    <w:rsid w:val="005011AD"/>
    <w:rsid w:val="00501F9F"/>
    <w:rsid w:val="00502A18"/>
    <w:rsid w:val="00504406"/>
    <w:rsid w:val="00504847"/>
    <w:rsid w:val="00512032"/>
    <w:rsid w:val="00515398"/>
    <w:rsid w:val="00531ED4"/>
    <w:rsid w:val="00535FB6"/>
    <w:rsid w:val="005403A9"/>
    <w:rsid w:val="0054330F"/>
    <w:rsid w:val="00543ABE"/>
    <w:rsid w:val="005454B1"/>
    <w:rsid w:val="00546126"/>
    <w:rsid w:val="005465B7"/>
    <w:rsid w:val="00547715"/>
    <w:rsid w:val="00550B35"/>
    <w:rsid w:val="00554F76"/>
    <w:rsid w:val="00562243"/>
    <w:rsid w:val="00567752"/>
    <w:rsid w:val="00583564"/>
    <w:rsid w:val="00584A5A"/>
    <w:rsid w:val="00587434"/>
    <w:rsid w:val="0059184E"/>
    <w:rsid w:val="0059532E"/>
    <w:rsid w:val="00595E92"/>
    <w:rsid w:val="005A4192"/>
    <w:rsid w:val="005C3CE3"/>
    <w:rsid w:val="005D4AEC"/>
    <w:rsid w:val="005D7E1C"/>
    <w:rsid w:val="005E500C"/>
    <w:rsid w:val="005E5B9F"/>
    <w:rsid w:val="005E61A4"/>
    <w:rsid w:val="005F126E"/>
    <w:rsid w:val="005F5C3F"/>
    <w:rsid w:val="006015AF"/>
    <w:rsid w:val="00611B38"/>
    <w:rsid w:val="00612E8B"/>
    <w:rsid w:val="006130CA"/>
    <w:rsid w:val="00616911"/>
    <w:rsid w:val="00616B56"/>
    <w:rsid w:val="00632E90"/>
    <w:rsid w:val="00634398"/>
    <w:rsid w:val="00643014"/>
    <w:rsid w:val="00643A6D"/>
    <w:rsid w:val="006545AC"/>
    <w:rsid w:val="00667EC8"/>
    <w:rsid w:val="00675B2B"/>
    <w:rsid w:val="00682B3A"/>
    <w:rsid w:val="00687478"/>
    <w:rsid w:val="006948A3"/>
    <w:rsid w:val="006C507B"/>
    <w:rsid w:val="006C6C72"/>
    <w:rsid w:val="006D1560"/>
    <w:rsid w:val="006E0650"/>
    <w:rsid w:val="006E2B01"/>
    <w:rsid w:val="006E5B51"/>
    <w:rsid w:val="006E63EB"/>
    <w:rsid w:val="006F26D0"/>
    <w:rsid w:val="007064C2"/>
    <w:rsid w:val="00707CC5"/>
    <w:rsid w:val="0071676F"/>
    <w:rsid w:val="00720BE8"/>
    <w:rsid w:val="00721012"/>
    <w:rsid w:val="00722504"/>
    <w:rsid w:val="00723CBD"/>
    <w:rsid w:val="00727092"/>
    <w:rsid w:val="007270C3"/>
    <w:rsid w:val="0073547D"/>
    <w:rsid w:val="0073574F"/>
    <w:rsid w:val="0073658D"/>
    <w:rsid w:val="00741215"/>
    <w:rsid w:val="00755E29"/>
    <w:rsid w:val="0076414A"/>
    <w:rsid w:val="00765850"/>
    <w:rsid w:val="00766459"/>
    <w:rsid w:val="00771760"/>
    <w:rsid w:val="00772D46"/>
    <w:rsid w:val="00775D27"/>
    <w:rsid w:val="00776798"/>
    <w:rsid w:val="0078489C"/>
    <w:rsid w:val="007924D0"/>
    <w:rsid w:val="00793A69"/>
    <w:rsid w:val="00797462"/>
    <w:rsid w:val="007977F7"/>
    <w:rsid w:val="007A105B"/>
    <w:rsid w:val="007A1E8F"/>
    <w:rsid w:val="007A68D3"/>
    <w:rsid w:val="007B6604"/>
    <w:rsid w:val="007D056F"/>
    <w:rsid w:val="007D4A06"/>
    <w:rsid w:val="007E70D4"/>
    <w:rsid w:val="007F5BB0"/>
    <w:rsid w:val="00805BD0"/>
    <w:rsid w:val="00806D25"/>
    <w:rsid w:val="00807441"/>
    <w:rsid w:val="00812200"/>
    <w:rsid w:val="00820FF5"/>
    <w:rsid w:val="00830194"/>
    <w:rsid w:val="0083371E"/>
    <w:rsid w:val="00841D53"/>
    <w:rsid w:val="008436EE"/>
    <w:rsid w:val="00846078"/>
    <w:rsid w:val="00847C6A"/>
    <w:rsid w:val="0085248E"/>
    <w:rsid w:val="00855D80"/>
    <w:rsid w:val="00857A36"/>
    <w:rsid w:val="008732E7"/>
    <w:rsid w:val="0087462C"/>
    <w:rsid w:val="00891AE9"/>
    <w:rsid w:val="008924D9"/>
    <w:rsid w:val="00894030"/>
    <w:rsid w:val="008974A3"/>
    <w:rsid w:val="008974B1"/>
    <w:rsid w:val="008A15AD"/>
    <w:rsid w:val="008B1A03"/>
    <w:rsid w:val="008B37DA"/>
    <w:rsid w:val="008C191A"/>
    <w:rsid w:val="008C5EF1"/>
    <w:rsid w:val="008D0481"/>
    <w:rsid w:val="008D4B51"/>
    <w:rsid w:val="008E24CB"/>
    <w:rsid w:val="008F13CC"/>
    <w:rsid w:val="008F15D9"/>
    <w:rsid w:val="008F40B9"/>
    <w:rsid w:val="00907D6C"/>
    <w:rsid w:val="00910671"/>
    <w:rsid w:val="00910D34"/>
    <w:rsid w:val="0092187D"/>
    <w:rsid w:val="00922614"/>
    <w:rsid w:val="00925721"/>
    <w:rsid w:val="00931183"/>
    <w:rsid w:val="00931E71"/>
    <w:rsid w:val="009330D3"/>
    <w:rsid w:val="00935031"/>
    <w:rsid w:val="0093598C"/>
    <w:rsid w:val="009430FE"/>
    <w:rsid w:val="00943148"/>
    <w:rsid w:val="00945E25"/>
    <w:rsid w:val="00957880"/>
    <w:rsid w:val="00963DCD"/>
    <w:rsid w:val="00967417"/>
    <w:rsid w:val="00970E17"/>
    <w:rsid w:val="00972A0D"/>
    <w:rsid w:val="00973971"/>
    <w:rsid w:val="00974515"/>
    <w:rsid w:val="00981B0B"/>
    <w:rsid w:val="0098281E"/>
    <w:rsid w:val="00983960"/>
    <w:rsid w:val="00984A11"/>
    <w:rsid w:val="00985781"/>
    <w:rsid w:val="00987354"/>
    <w:rsid w:val="00987DFC"/>
    <w:rsid w:val="00992E96"/>
    <w:rsid w:val="0099544E"/>
    <w:rsid w:val="009A3EF7"/>
    <w:rsid w:val="009A61B9"/>
    <w:rsid w:val="009B5DD2"/>
    <w:rsid w:val="009C1FF1"/>
    <w:rsid w:val="009C5CDB"/>
    <w:rsid w:val="009D64EC"/>
    <w:rsid w:val="009E3119"/>
    <w:rsid w:val="009E4526"/>
    <w:rsid w:val="009F5B1A"/>
    <w:rsid w:val="00A03768"/>
    <w:rsid w:val="00A055A8"/>
    <w:rsid w:val="00A171C2"/>
    <w:rsid w:val="00A17529"/>
    <w:rsid w:val="00A23341"/>
    <w:rsid w:val="00A328E4"/>
    <w:rsid w:val="00A32D13"/>
    <w:rsid w:val="00A334A4"/>
    <w:rsid w:val="00A33F8B"/>
    <w:rsid w:val="00A40FAF"/>
    <w:rsid w:val="00A41B4B"/>
    <w:rsid w:val="00A50517"/>
    <w:rsid w:val="00A602EC"/>
    <w:rsid w:val="00A720C7"/>
    <w:rsid w:val="00A73DF6"/>
    <w:rsid w:val="00A7746B"/>
    <w:rsid w:val="00A9257E"/>
    <w:rsid w:val="00A93C8F"/>
    <w:rsid w:val="00AB0DFD"/>
    <w:rsid w:val="00AB16FA"/>
    <w:rsid w:val="00AC503F"/>
    <w:rsid w:val="00AC6FD4"/>
    <w:rsid w:val="00AD1143"/>
    <w:rsid w:val="00AD163F"/>
    <w:rsid w:val="00AD43A1"/>
    <w:rsid w:val="00AF562C"/>
    <w:rsid w:val="00B01FD3"/>
    <w:rsid w:val="00B03C47"/>
    <w:rsid w:val="00B055AB"/>
    <w:rsid w:val="00B075D9"/>
    <w:rsid w:val="00B10728"/>
    <w:rsid w:val="00B12198"/>
    <w:rsid w:val="00B14E17"/>
    <w:rsid w:val="00B173D2"/>
    <w:rsid w:val="00B215F9"/>
    <w:rsid w:val="00B2250E"/>
    <w:rsid w:val="00B23DA6"/>
    <w:rsid w:val="00B27F61"/>
    <w:rsid w:val="00B4271B"/>
    <w:rsid w:val="00B44A03"/>
    <w:rsid w:val="00B5131B"/>
    <w:rsid w:val="00B5146A"/>
    <w:rsid w:val="00B726A5"/>
    <w:rsid w:val="00B8491E"/>
    <w:rsid w:val="00BA0B9C"/>
    <w:rsid w:val="00BB1130"/>
    <w:rsid w:val="00BD12CF"/>
    <w:rsid w:val="00BD1550"/>
    <w:rsid w:val="00BD1EC5"/>
    <w:rsid w:val="00BD33C0"/>
    <w:rsid w:val="00BD615A"/>
    <w:rsid w:val="00BE0F05"/>
    <w:rsid w:val="00BE3E02"/>
    <w:rsid w:val="00BE413C"/>
    <w:rsid w:val="00BE58F2"/>
    <w:rsid w:val="00BF3975"/>
    <w:rsid w:val="00BF62A4"/>
    <w:rsid w:val="00C012A6"/>
    <w:rsid w:val="00C01CBC"/>
    <w:rsid w:val="00C023EF"/>
    <w:rsid w:val="00C03562"/>
    <w:rsid w:val="00C07892"/>
    <w:rsid w:val="00C22577"/>
    <w:rsid w:val="00C2332D"/>
    <w:rsid w:val="00C35E15"/>
    <w:rsid w:val="00C40724"/>
    <w:rsid w:val="00C44FD0"/>
    <w:rsid w:val="00C55B96"/>
    <w:rsid w:val="00C57811"/>
    <w:rsid w:val="00C57F96"/>
    <w:rsid w:val="00C60083"/>
    <w:rsid w:val="00C64357"/>
    <w:rsid w:val="00C80179"/>
    <w:rsid w:val="00C83C08"/>
    <w:rsid w:val="00C86237"/>
    <w:rsid w:val="00CA5AD6"/>
    <w:rsid w:val="00CB2292"/>
    <w:rsid w:val="00CB5A71"/>
    <w:rsid w:val="00CB5C8E"/>
    <w:rsid w:val="00CC0017"/>
    <w:rsid w:val="00CC6641"/>
    <w:rsid w:val="00CD0A6A"/>
    <w:rsid w:val="00CE4E4A"/>
    <w:rsid w:val="00CF43E4"/>
    <w:rsid w:val="00CF4C3D"/>
    <w:rsid w:val="00CF6100"/>
    <w:rsid w:val="00CF618F"/>
    <w:rsid w:val="00D011CE"/>
    <w:rsid w:val="00D03040"/>
    <w:rsid w:val="00D146C8"/>
    <w:rsid w:val="00D17436"/>
    <w:rsid w:val="00D23603"/>
    <w:rsid w:val="00D245B5"/>
    <w:rsid w:val="00D36C5A"/>
    <w:rsid w:val="00D45B4D"/>
    <w:rsid w:val="00D540E7"/>
    <w:rsid w:val="00D62991"/>
    <w:rsid w:val="00D64A0B"/>
    <w:rsid w:val="00D711A7"/>
    <w:rsid w:val="00D7705B"/>
    <w:rsid w:val="00D80F16"/>
    <w:rsid w:val="00D85CF5"/>
    <w:rsid w:val="00D91E1D"/>
    <w:rsid w:val="00DA0D19"/>
    <w:rsid w:val="00DA479A"/>
    <w:rsid w:val="00DA67CB"/>
    <w:rsid w:val="00DB4B25"/>
    <w:rsid w:val="00DE06FF"/>
    <w:rsid w:val="00DE17F5"/>
    <w:rsid w:val="00DE42C0"/>
    <w:rsid w:val="00DE4E8C"/>
    <w:rsid w:val="00DF09AF"/>
    <w:rsid w:val="00DF0DB7"/>
    <w:rsid w:val="00E00CF4"/>
    <w:rsid w:val="00E00F0D"/>
    <w:rsid w:val="00E02113"/>
    <w:rsid w:val="00E05C84"/>
    <w:rsid w:val="00E141C8"/>
    <w:rsid w:val="00E1448D"/>
    <w:rsid w:val="00E15EAC"/>
    <w:rsid w:val="00E16DFA"/>
    <w:rsid w:val="00E356BE"/>
    <w:rsid w:val="00E36604"/>
    <w:rsid w:val="00E379AA"/>
    <w:rsid w:val="00E4050D"/>
    <w:rsid w:val="00E4588F"/>
    <w:rsid w:val="00E5572C"/>
    <w:rsid w:val="00E6275F"/>
    <w:rsid w:val="00E62DAE"/>
    <w:rsid w:val="00E643E4"/>
    <w:rsid w:val="00E760AB"/>
    <w:rsid w:val="00E76BCF"/>
    <w:rsid w:val="00E81C38"/>
    <w:rsid w:val="00E914DD"/>
    <w:rsid w:val="00E93536"/>
    <w:rsid w:val="00E940E4"/>
    <w:rsid w:val="00EA5002"/>
    <w:rsid w:val="00EA7623"/>
    <w:rsid w:val="00EB4CFF"/>
    <w:rsid w:val="00ED14A3"/>
    <w:rsid w:val="00ED5D8A"/>
    <w:rsid w:val="00ED60BA"/>
    <w:rsid w:val="00ED6B70"/>
    <w:rsid w:val="00EE1EC8"/>
    <w:rsid w:val="00EF6827"/>
    <w:rsid w:val="00F015BD"/>
    <w:rsid w:val="00F05643"/>
    <w:rsid w:val="00F0757C"/>
    <w:rsid w:val="00F12CD7"/>
    <w:rsid w:val="00F135BD"/>
    <w:rsid w:val="00F246BE"/>
    <w:rsid w:val="00F30975"/>
    <w:rsid w:val="00F4099B"/>
    <w:rsid w:val="00F4260B"/>
    <w:rsid w:val="00F46CD5"/>
    <w:rsid w:val="00F472E6"/>
    <w:rsid w:val="00F47816"/>
    <w:rsid w:val="00F522C7"/>
    <w:rsid w:val="00F53361"/>
    <w:rsid w:val="00F64992"/>
    <w:rsid w:val="00F75F76"/>
    <w:rsid w:val="00F77901"/>
    <w:rsid w:val="00F82574"/>
    <w:rsid w:val="00F83A85"/>
    <w:rsid w:val="00F83CAB"/>
    <w:rsid w:val="00F83D41"/>
    <w:rsid w:val="00F92C93"/>
    <w:rsid w:val="00F962AD"/>
    <w:rsid w:val="00F965AD"/>
    <w:rsid w:val="00FA06FF"/>
    <w:rsid w:val="00FA0D7C"/>
    <w:rsid w:val="00FA4197"/>
    <w:rsid w:val="00FB09B6"/>
    <w:rsid w:val="00FB1421"/>
    <w:rsid w:val="00FB2C7B"/>
    <w:rsid w:val="00FD304C"/>
    <w:rsid w:val="00FF125B"/>
    <w:rsid w:val="00FF29E0"/>
    <w:rsid w:val="00FF3F71"/>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eop">
    <w:name w:val="eop"/>
    <w:basedOn w:val="DefaultParagraphFont"/>
    <w:rsid w:val="0011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1350">
      <w:bodyDiv w:val="1"/>
      <w:marLeft w:val="0"/>
      <w:marRight w:val="0"/>
      <w:marTop w:val="0"/>
      <w:marBottom w:val="0"/>
      <w:divBdr>
        <w:top w:val="none" w:sz="0" w:space="0" w:color="auto"/>
        <w:left w:val="none" w:sz="0" w:space="0" w:color="auto"/>
        <w:bottom w:val="none" w:sz="0" w:space="0" w:color="auto"/>
        <w:right w:val="none" w:sz="0" w:space="0" w:color="auto"/>
      </w:divBdr>
    </w:div>
    <w:div w:id="62902183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37">
          <w:marLeft w:val="0"/>
          <w:marRight w:val="0"/>
          <w:marTop w:val="0"/>
          <w:marBottom w:val="0"/>
          <w:divBdr>
            <w:top w:val="none" w:sz="0" w:space="0" w:color="auto"/>
            <w:left w:val="none" w:sz="0" w:space="0" w:color="auto"/>
            <w:bottom w:val="none" w:sz="0" w:space="0" w:color="auto"/>
            <w:right w:val="none" w:sz="0" w:space="0" w:color="auto"/>
          </w:divBdr>
          <w:divsChild>
            <w:div w:id="1636569622">
              <w:marLeft w:val="0"/>
              <w:marRight w:val="0"/>
              <w:marTop w:val="0"/>
              <w:marBottom w:val="0"/>
              <w:divBdr>
                <w:top w:val="none" w:sz="0" w:space="0" w:color="auto"/>
                <w:left w:val="none" w:sz="0" w:space="0" w:color="auto"/>
                <w:bottom w:val="none" w:sz="0" w:space="0" w:color="auto"/>
                <w:right w:val="none" w:sz="0" w:space="0" w:color="auto"/>
              </w:divBdr>
              <w:divsChild>
                <w:div w:id="910769045">
                  <w:marLeft w:val="0"/>
                  <w:marRight w:val="0"/>
                  <w:marTop w:val="0"/>
                  <w:marBottom w:val="0"/>
                  <w:divBdr>
                    <w:top w:val="none" w:sz="0" w:space="0" w:color="auto"/>
                    <w:left w:val="none" w:sz="0" w:space="0" w:color="auto"/>
                    <w:bottom w:val="none" w:sz="0" w:space="0" w:color="auto"/>
                    <w:right w:val="none" w:sz="0" w:space="0" w:color="auto"/>
                  </w:divBdr>
                  <w:divsChild>
                    <w:div w:id="1085155269">
                      <w:marLeft w:val="0"/>
                      <w:marRight w:val="0"/>
                      <w:marTop w:val="0"/>
                      <w:marBottom w:val="0"/>
                      <w:divBdr>
                        <w:top w:val="none" w:sz="0" w:space="0" w:color="auto"/>
                        <w:left w:val="none" w:sz="0" w:space="0" w:color="auto"/>
                        <w:bottom w:val="none" w:sz="0" w:space="0" w:color="auto"/>
                        <w:right w:val="none" w:sz="0" w:space="0" w:color="auto"/>
                      </w:divBdr>
                      <w:divsChild>
                        <w:div w:id="74279575">
                          <w:marLeft w:val="0"/>
                          <w:marRight w:val="0"/>
                          <w:marTop w:val="0"/>
                          <w:marBottom w:val="0"/>
                          <w:divBdr>
                            <w:top w:val="none" w:sz="0" w:space="0" w:color="auto"/>
                            <w:left w:val="none" w:sz="0" w:space="0" w:color="auto"/>
                            <w:bottom w:val="none" w:sz="0" w:space="0" w:color="auto"/>
                            <w:right w:val="none" w:sz="0" w:space="0" w:color="auto"/>
                          </w:divBdr>
                          <w:divsChild>
                            <w:div w:id="1323672">
                              <w:marLeft w:val="0"/>
                              <w:marRight w:val="0"/>
                              <w:marTop w:val="0"/>
                              <w:marBottom w:val="0"/>
                              <w:divBdr>
                                <w:top w:val="none" w:sz="0" w:space="0" w:color="auto"/>
                                <w:left w:val="none" w:sz="0" w:space="0" w:color="auto"/>
                                <w:bottom w:val="none" w:sz="0" w:space="0" w:color="auto"/>
                                <w:right w:val="none" w:sz="0" w:space="0" w:color="auto"/>
                              </w:divBdr>
                              <w:divsChild>
                                <w:div w:id="552814140">
                                  <w:marLeft w:val="0"/>
                                  <w:marRight w:val="0"/>
                                  <w:marTop w:val="0"/>
                                  <w:marBottom w:val="0"/>
                                  <w:divBdr>
                                    <w:top w:val="none" w:sz="0" w:space="0" w:color="auto"/>
                                    <w:left w:val="none" w:sz="0" w:space="0" w:color="auto"/>
                                    <w:bottom w:val="none" w:sz="0" w:space="0" w:color="auto"/>
                                    <w:right w:val="none" w:sz="0" w:space="0" w:color="auto"/>
                                  </w:divBdr>
                                  <w:divsChild>
                                    <w:div w:id="630212934">
                                      <w:marLeft w:val="0"/>
                                      <w:marRight w:val="0"/>
                                      <w:marTop w:val="0"/>
                                      <w:marBottom w:val="0"/>
                                      <w:divBdr>
                                        <w:top w:val="none" w:sz="0" w:space="0" w:color="auto"/>
                                        <w:left w:val="none" w:sz="0" w:space="0" w:color="auto"/>
                                        <w:bottom w:val="none" w:sz="0" w:space="0" w:color="auto"/>
                                        <w:right w:val="none" w:sz="0" w:space="0" w:color="auto"/>
                                      </w:divBdr>
                                      <w:divsChild>
                                        <w:div w:id="1312056515">
                                          <w:marLeft w:val="0"/>
                                          <w:marRight w:val="0"/>
                                          <w:marTop w:val="0"/>
                                          <w:marBottom w:val="0"/>
                                          <w:divBdr>
                                            <w:top w:val="none" w:sz="0" w:space="0" w:color="auto"/>
                                            <w:left w:val="none" w:sz="0" w:space="0" w:color="auto"/>
                                            <w:bottom w:val="none" w:sz="0" w:space="0" w:color="auto"/>
                                            <w:right w:val="none" w:sz="0" w:space="0" w:color="auto"/>
                                          </w:divBdr>
                                          <w:divsChild>
                                            <w:div w:id="65760696">
                                              <w:marLeft w:val="0"/>
                                              <w:marRight w:val="0"/>
                                              <w:marTop w:val="0"/>
                                              <w:marBottom w:val="0"/>
                                              <w:divBdr>
                                                <w:top w:val="none" w:sz="0" w:space="0" w:color="auto"/>
                                                <w:left w:val="none" w:sz="0" w:space="0" w:color="auto"/>
                                                <w:bottom w:val="none" w:sz="0" w:space="0" w:color="auto"/>
                                                <w:right w:val="none" w:sz="0" w:space="0" w:color="auto"/>
                                              </w:divBdr>
                                              <w:divsChild>
                                                <w:div w:id="1236546604">
                                                  <w:marLeft w:val="0"/>
                                                  <w:marRight w:val="0"/>
                                                  <w:marTop w:val="0"/>
                                                  <w:marBottom w:val="0"/>
                                                  <w:divBdr>
                                                    <w:top w:val="none" w:sz="0" w:space="0" w:color="auto"/>
                                                    <w:left w:val="none" w:sz="0" w:space="0" w:color="auto"/>
                                                    <w:bottom w:val="none" w:sz="0" w:space="0" w:color="auto"/>
                                                    <w:right w:val="none" w:sz="0" w:space="0" w:color="auto"/>
                                                  </w:divBdr>
                                                  <w:divsChild>
                                                    <w:div w:id="1878540851">
                                                      <w:marLeft w:val="0"/>
                                                      <w:marRight w:val="0"/>
                                                      <w:marTop w:val="0"/>
                                                      <w:marBottom w:val="0"/>
                                                      <w:divBdr>
                                                        <w:top w:val="single" w:sz="6" w:space="0" w:color="ABABAB"/>
                                                        <w:left w:val="single" w:sz="6" w:space="0" w:color="ABABAB"/>
                                                        <w:bottom w:val="none" w:sz="0" w:space="0" w:color="auto"/>
                                                        <w:right w:val="single" w:sz="6" w:space="0" w:color="ABABAB"/>
                                                      </w:divBdr>
                                                      <w:divsChild>
                                                        <w:div w:id="581766875">
                                                          <w:marLeft w:val="0"/>
                                                          <w:marRight w:val="0"/>
                                                          <w:marTop w:val="0"/>
                                                          <w:marBottom w:val="0"/>
                                                          <w:divBdr>
                                                            <w:top w:val="none" w:sz="0" w:space="0" w:color="auto"/>
                                                            <w:left w:val="none" w:sz="0" w:space="0" w:color="auto"/>
                                                            <w:bottom w:val="none" w:sz="0" w:space="0" w:color="auto"/>
                                                            <w:right w:val="none" w:sz="0" w:space="0" w:color="auto"/>
                                                          </w:divBdr>
                                                          <w:divsChild>
                                                            <w:div w:id="1014652028">
                                                              <w:marLeft w:val="0"/>
                                                              <w:marRight w:val="0"/>
                                                              <w:marTop w:val="0"/>
                                                              <w:marBottom w:val="0"/>
                                                              <w:divBdr>
                                                                <w:top w:val="none" w:sz="0" w:space="0" w:color="auto"/>
                                                                <w:left w:val="none" w:sz="0" w:space="0" w:color="auto"/>
                                                                <w:bottom w:val="none" w:sz="0" w:space="0" w:color="auto"/>
                                                                <w:right w:val="none" w:sz="0" w:space="0" w:color="auto"/>
                                                              </w:divBdr>
                                                              <w:divsChild>
                                                                <w:div w:id="1028720298">
                                                                  <w:marLeft w:val="0"/>
                                                                  <w:marRight w:val="0"/>
                                                                  <w:marTop w:val="0"/>
                                                                  <w:marBottom w:val="0"/>
                                                                  <w:divBdr>
                                                                    <w:top w:val="none" w:sz="0" w:space="0" w:color="auto"/>
                                                                    <w:left w:val="none" w:sz="0" w:space="0" w:color="auto"/>
                                                                    <w:bottom w:val="none" w:sz="0" w:space="0" w:color="auto"/>
                                                                    <w:right w:val="none" w:sz="0" w:space="0" w:color="auto"/>
                                                                  </w:divBdr>
                                                                  <w:divsChild>
                                                                    <w:div w:id="1899365995">
                                                                      <w:marLeft w:val="0"/>
                                                                      <w:marRight w:val="0"/>
                                                                      <w:marTop w:val="0"/>
                                                                      <w:marBottom w:val="0"/>
                                                                      <w:divBdr>
                                                                        <w:top w:val="none" w:sz="0" w:space="0" w:color="auto"/>
                                                                        <w:left w:val="none" w:sz="0" w:space="0" w:color="auto"/>
                                                                        <w:bottom w:val="none" w:sz="0" w:space="0" w:color="auto"/>
                                                                        <w:right w:val="none" w:sz="0" w:space="0" w:color="auto"/>
                                                                      </w:divBdr>
                                                                      <w:divsChild>
                                                                        <w:div w:id="1638411690">
                                                                          <w:marLeft w:val="0"/>
                                                                          <w:marRight w:val="0"/>
                                                                          <w:marTop w:val="0"/>
                                                                          <w:marBottom w:val="0"/>
                                                                          <w:divBdr>
                                                                            <w:top w:val="none" w:sz="0" w:space="0" w:color="auto"/>
                                                                            <w:left w:val="none" w:sz="0" w:space="0" w:color="auto"/>
                                                                            <w:bottom w:val="none" w:sz="0" w:space="0" w:color="auto"/>
                                                                            <w:right w:val="none" w:sz="0" w:space="0" w:color="auto"/>
                                                                          </w:divBdr>
                                                                          <w:divsChild>
                                                                            <w:div w:id="499395526">
                                                                              <w:marLeft w:val="0"/>
                                                                              <w:marRight w:val="0"/>
                                                                              <w:marTop w:val="0"/>
                                                                              <w:marBottom w:val="0"/>
                                                                              <w:divBdr>
                                                                                <w:top w:val="none" w:sz="0" w:space="0" w:color="auto"/>
                                                                                <w:left w:val="none" w:sz="0" w:space="0" w:color="auto"/>
                                                                                <w:bottom w:val="none" w:sz="0" w:space="0" w:color="auto"/>
                                                                                <w:right w:val="none" w:sz="0" w:space="0" w:color="auto"/>
                                                                              </w:divBdr>
                                                                              <w:divsChild>
                                                                                <w:div w:id="13603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130125028">
      <w:bodyDiv w:val="1"/>
      <w:marLeft w:val="0"/>
      <w:marRight w:val="0"/>
      <w:marTop w:val="0"/>
      <w:marBottom w:val="0"/>
      <w:divBdr>
        <w:top w:val="none" w:sz="0" w:space="0" w:color="auto"/>
        <w:left w:val="none" w:sz="0" w:space="0" w:color="auto"/>
        <w:bottom w:val="none" w:sz="0" w:space="0" w:color="auto"/>
        <w:right w:val="none" w:sz="0" w:space="0" w:color="auto"/>
      </w:divBdr>
      <w:divsChild>
        <w:div w:id="1885368663">
          <w:marLeft w:val="0"/>
          <w:marRight w:val="0"/>
          <w:marTop w:val="0"/>
          <w:marBottom w:val="0"/>
          <w:divBdr>
            <w:top w:val="none" w:sz="0" w:space="0" w:color="auto"/>
            <w:left w:val="none" w:sz="0" w:space="0" w:color="auto"/>
            <w:bottom w:val="none" w:sz="0" w:space="0" w:color="auto"/>
            <w:right w:val="none" w:sz="0" w:space="0" w:color="auto"/>
          </w:divBdr>
          <w:divsChild>
            <w:div w:id="1780953051">
              <w:marLeft w:val="0"/>
              <w:marRight w:val="0"/>
              <w:marTop w:val="0"/>
              <w:marBottom w:val="0"/>
              <w:divBdr>
                <w:top w:val="none" w:sz="0" w:space="0" w:color="auto"/>
                <w:left w:val="none" w:sz="0" w:space="0" w:color="auto"/>
                <w:bottom w:val="none" w:sz="0" w:space="0" w:color="auto"/>
                <w:right w:val="none" w:sz="0" w:space="0" w:color="auto"/>
              </w:divBdr>
              <w:divsChild>
                <w:div w:id="1584291926">
                  <w:marLeft w:val="0"/>
                  <w:marRight w:val="0"/>
                  <w:marTop w:val="0"/>
                  <w:marBottom w:val="0"/>
                  <w:divBdr>
                    <w:top w:val="none" w:sz="0" w:space="0" w:color="auto"/>
                    <w:left w:val="none" w:sz="0" w:space="0" w:color="auto"/>
                    <w:bottom w:val="none" w:sz="0" w:space="0" w:color="auto"/>
                    <w:right w:val="none" w:sz="0" w:space="0" w:color="auto"/>
                  </w:divBdr>
                  <w:divsChild>
                    <w:div w:id="1628854637">
                      <w:marLeft w:val="0"/>
                      <w:marRight w:val="0"/>
                      <w:marTop w:val="0"/>
                      <w:marBottom w:val="0"/>
                      <w:divBdr>
                        <w:top w:val="none" w:sz="0" w:space="0" w:color="auto"/>
                        <w:left w:val="none" w:sz="0" w:space="0" w:color="auto"/>
                        <w:bottom w:val="none" w:sz="0" w:space="0" w:color="auto"/>
                        <w:right w:val="none" w:sz="0" w:space="0" w:color="auto"/>
                      </w:divBdr>
                      <w:divsChild>
                        <w:div w:id="1756049771">
                          <w:marLeft w:val="0"/>
                          <w:marRight w:val="0"/>
                          <w:marTop w:val="0"/>
                          <w:marBottom w:val="0"/>
                          <w:divBdr>
                            <w:top w:val="none" w:sz="0" w:space="0" w:color="auto"/>
                            <w:left w:val="none" w:sz="0" w:space="0" w:color="auto"/>
                            <w:bottom w:val="none" w:sz="0" w:space="0" w:color="auto"/>
                            <w:right w:val="none" w:sz="0" w:space="0" w:color="auto"/>
                          </w:divBdr>
                          <w:divsChild>
                            <w:div w:id="223831343">
                              <w:marLeft w:val="0"/>
                              <w:marRight w:val="0"/>
                              <w:marTop w:val="0"/>
                              <w:marBottom w:val="0"/>
                              <w:divBdr>
                                <w:top w:val="none" w:sz="0" w:space="0" w:color="auto"/>
                                <w:left w:val="none" w:sz="0" w:space="0" w:color="auto"/>
                                <w:bottom w:val="none" w:sz="0" w:space="0" w:color="auto"/>
                                <w:right w:val="none" w:sz="0" w:space="0" w:color="auto"/>
                              </w:divBdr>
                              <w:divsChild>
                                <w:div w:id="269624206">
                                  <w:marLeft w:val="0"/>
                                  <w:marRight w:val="0"/>
                                  <w:marTop w:val="0"/>
                                  <w:marBottom w:val="0"/>
                                  <w:divBdr>
                                    <w:top w:val="none" w:sz="0" w:space="0" w:color="auto"/>
                                    <w:left w:val="none" w:sz="0" w:space="0" w:color="auto"/>
                                    <w:bottom w:val="none" w:sz="0" w:space="0" w:color="auto"/>
                                    <w:right w:val="none" w:sz="0" w:space="0" w:color="auto"/>
                                  </w:divBdr>
                                  <w:divsChild>
                                    <w:div w:id="93399517">
                                      <w:marLeft w:val="0"/>
                                      <w:marRight w:val="0"/>
                                      <w:marTop w:val="0"/>
                                      <w:marBottom w:val="0"/>
                                      <w:divBdr>
                                        <w:top w:val="none" w:sz="0" w:space="0" w:color="auto"/>
                                        <w:left w:val="none" w:sz="0" w:space="0" w:color="auto"/>
                                        <w:bottom w:val="none" w:sz="0" w:space="0" w:color="auto"/>
                                        <w:right w:val="none" w:sz="0" w:space="0" w:color="auto"/>
                                      </w:divBdr>
                                      <w:divsChild>
                                        <w:div w:id="2099253579">
                                          <w:marLeft w:val="0"/>
                                          <w:marRight w:val="0"/>
                                          <w:marTop w:val="0"/>
                                          <w:marBottom w:val="0"/>
                                          <w:divBdr>
                                            <w:top w:val="none" w:sz="0" w:space="0" w:color="auto"/>
                                            <w:left w:val="none" w:sz="0" w:space="0" w:color="auto"/>
                                            <w:bottom w:val="none" w:sz="0" w:space="0" w:color="auto"/>
                                            <w:right w:val="none" w:sz="0" w:space="0" w:color="auto"/>
                                          </w:divBdr>
                                          <w:divsChild>
                                            <w:div w:id="930048244">
                                              <w:marLeft w:val="0"/>
                                              <w:marRight w:val="0"/>
                                              <w:marTop w:val="0"/>
                                              <w:marBottom w:val="0"/>
                                              <w:divBdr>
                                                <w:top w:val="none" w:sz="0" w:space="0" w:color="auto"/>
                                                <w:left w:val="none" w:sz="0" w:space="0" w:color="auto"/>
                                                <w:bottom w:val="none" w:sz="0" w:space="0" w:color="auto"/>
                                                <w:right w:val="none" w:sz="0" w:space="0" w:color="auto"/>
                                              </w:divBdr>
                                              <w:divsChild>
                                                <w:div w:id="1823309411">
                                                  <w:marLeft w:val="0"/>
                                                  <w:marRight w:val="0"/>
                                                  <w:marTop w:val="0"/>
                                                  <w:marBottom w:val="0"/>
                                                  <w:divBdr>
                                                    <w:top w:val="none" w:sz="0" w:space="0" w:color="auto"/>
                                                    <w:left w:val="none" w:sz="0" w:space="0" w:color="auto"/>
                                                    <w:bottom w:val="none" w:sz="0" w:space="0" w:color="auto"/>
                                                    <w:right w:val="none" w:sz="0" w:space="0" w:color="auto"/>
                                                  </w:divBdr>
                                                  <w:divsChild>
                                                    <w:div w:id="92866410">
                                                      <w:marLeft w:val="0"/>
                                                      <w:marRight w:val="0"/>
                                                      <w:marTop w:val="0"/>
                                                      <w:marBottom w:val="0"/>
                                                      <w:divBdr>
                                                        <w:top w:val="single" w:sz="12" w:space="0" w:color="ABABAB"/>
                                                        <w:left w:val="single" w:sz="6" w:space="0" w:color="ABABAB"/>
                                                        <w:bottom w:val="none" w:sz="0" w:space="0" w:color="auto"/>
                                                        <w:right w:val="single" w:sz="6" w:space="0" w:color="ABABAB"/>
                                                      </w:divBdr>
                                                      <w:divsChild>
                                                        <w:div w:id="237135619">
                                                          <w:marLeft w:val="0"/>
                                                          <w:marRight w:val="0"/>
                                                          <w:marTop w:val="0"/>
                                                          <w:marBottom w:val="0"/>
                                                          <w:divBdr>
                                                            <w:top w:val="none" w:sz="0" w:space="0" w:color="auto"/>
                                                            <w:left w:val="none" w:sz="0" w:space="0" w:color="auto"/>
                                                            <w:bottom w:val="none" w:sz="0" w:space="0" w:color="auto"/>
                                                            <w:right w:val="none" w:sz="0" w:space="0" w:color="auto"/>
                                                          </w:divBdr>
                                                          <w:divsChild>
                                                            <w:div w:id="1371878507">
                                                              <w:marLeft w:val="0"/>
                                                              <w:marRight w:val="0"/>
                                                              <w:marTop w:val="0"/>
                                                              <w:marBottom w:val="0"/>
                                                              <w:divBdr>
                                                                <w:top w:val="none" w:sz="0" w:space="0" w:color="auto"/>
                                                                <w:left w:val="none" w:sz="0" w:space="0" w:color="auto"/>
                                                                <w:bottom w:val="none" w:sz="0" w:space="0" w:color="auto"/>
                                                                <w:right w:val="none" w:sz="0" w:space="0" w:color="auto"/>
                                                              </w:divBdr>
                                                              <w:divsChild>
                                                                <w:div w:id="1435243316">
                                                                  <w:marLeft w:val="0"/>
                                                                  <w:marRight w:val="0"/>
                                                                  <w:marTop w:val="0"/>
                                                                  <w:marBottom w:val="0"/>
                                                                  <w:divBdr>
                                                                    <w:top w:val="none" w:sz="0" w:space="0" w:color="auto"/>
                                                                    <w:left w:val="none" w:sz="0" w:space="0" w:color="auto"/>
                                                                    <w:bottom w:val="none" w:sz="0" w:space="0" w:color="auto"/>
                                                                    <w:right w:val="none" w:sz="0" w:space="0" w:color="auto"/>
                                                                  </w:divBdr>
                                                                  <w:divsChild>
                                                                    <w:div w:id="1573615760">
                                                                      <w:marLeft w:val="0"/>
                                                                      <w:marRight w:val="0"/>
                                                                      <w:marTop w:val="0"/>
                                                                      <w:marBottom w:val="0"/>
                                                                      <w:divBdr>
                                                                        <w:top w:val="none" w:sz="0" w:space="0" w:color="auto"/>
                                                                        <w:left w:val="none" w:sz="0" w:space="0" w:color="auto"/>
                                                                        <w:bottom w:val="none" w:sz="0" w:space="0" w:color="auto"/>
                                                                        <w:right w:val="none" w:sz="0" w:space="0" w:color="auto"/>
                                                                      </w:divBdr>
                                                                      <w:divsChild>
                                                                        <w:div w:id="1368137162">
                                                                          <w:marLeft w:val="0"/>
                                                                          <w:marRight w:val="0"/>
                                                                          <w:marTop w:val="0"/>
                                                                          <w:marBottom w:val="0"/>
                                                                          <w:divBdr>
                                                                            <w:top w:val="none" w:sz="0" w:space="0" w:color="auto"/>
                                                                            <w:left w:val="none" w:sz="0" w:space="0" w:color="auto"/>
                                                                            <w:bottom w:val="none" w:sz="0" w:space="0" w:color="auto"/>
                                                                            <w:right w:val="none" w:sz="0" w:space="0" w:color="auto"/>
                                                                          </w:divBdr>
                                                                          <w:divsChild>
                                                                            <w:div w:id="1470975074">
                                                                              <w:marLeft w:val="0"/>
                                                                              <w:marRight w:val="0"/>
                                                                              <w:marTop w:val="0"/>
                                                                              <w:marBottom w:val="0"/>
                                                                              <w:divBdr>
                                                                                <w:top w:val="none" w:sz="0" w:space="0" w:color="auto"/>
                                                                                <w:left w:val="none" w:sz="0" w:space="0" w:color="auto"/>
                                                                                <w:bottom w:val="none" w:sz="0" w:space="0" w:color="auto"/>
                                                                                <w:right w:val="none" w:sz="0" w:space="0" w:color="auto"/>
                                                                              </w:divBdr>
                                                                              <w:divsChild>
                                                                                <w:div w:id="924613125">
                                                                                  <w:marLeft w:val="0"/>
                                                                                  <w:marRight w:val="0"/>
                                                                                  <w:marTop w:val="0"/>
                                                                                  <w:marBottom w:val="0"/>
                                                                                  <w:divBdr>
                                                                                    <w:top w:val="none" w:sz="0" w:space="0" w:color="auto"/>
                                                                                    <w:left w:val="none" w:sz="0" w:space="0" w:color="auto"/>
                                                                                    <w:bottom w:val="none" w:sz="0" w:space="0" w:color="auto"/>
                                                                                    <w:right w:val="none" w:sz="0" w:space="0" w:color="auto"/>
                                                                                  </w:divBdr>
                                                                                </w:div>
                                                                                <w:div w:id="732047712">
                                                                                  <w:marLeft w:val="0"/>
                                                                                  <w:marRight w:val="0"/>
                                                                                  <w:marTop w:val="0"/>
                                                                                  <w:marBottom w:val="0"/>
                                                                                  <w:divBdr>
                                                                                    <w:top w:val="none" w:sz="0" w:space="0" w:color="auto"/>
                                                                                    <w:left w:val="none" w:sz="0" w:space="0" w:color="auto"/>
                                                                                    <w:bottom w:val="none" w:sz="0" w:space="0" w:color="auto"/>
                                                                                    <w:right w:val="none" w:sz="0" w:space="0" w:color="auto"/>
                                                                                  </w:divBdr>
                                                                                </w:div>
                                                                              </w:divsChild>
                                                                            </w:div>
                                                                            <w:div w:id="1236475580">
                                                                              <w:marLeft w:val="0"/>
                                                                              <w:marRight w:val="0"/>
                                                                              <w:marTop w:val="0"/>
                                                                              <w:marBottom w:val="0"/>
                                                                              <w:divBdr>
                                                                                <w:top w:val="none" w:sz="0" w:space="0" w:color="auto"/>
                                                                                <w:left w:val="none" w:sz="0" w:space="0" w:color="auto"/>
                                                                                <w:bottom w:val="none" w:sz="0" w:space="0" w:color="auto"/>
                                                                                <w:right w:val="none" w:sz="0" w:space="0" w:color="auto"/>
                                                                              </w:divBdr>
                                                                              <w:divsChild>
                                                                                <w:div w:id="1875337773">
                                                                                  <w:marLeft w:val="0"/>
                                                                                  <w:marRight w:val="0"/>
                                                                                  <w:marTop w:val="0"/>
                                                                                  <w:marBottom w:val="0"/>
                                                                                  <w:divBdr>
                                                                                    <w:top w:val="none" w:sz="0" w:space="0" w:color="auto"/>
                                                                                    <w:left w:val="none" w:sz="0" w:space="0" w:color="auto"/>
                                                                                    <w:bottom w:val="none" w:sz="0" w:space="0" w:color="auto"/>
                                                                                    <w:right w:val="none" w:sz="0" w:space="0" w:color="auto"/>
                                                                                  </w:divBdr>
                                                                                </w:div>
                                                                                <w:div w:id="136531611">
                                                                                  <w:marLeft w:val="0"/>
                                                                                  <w:marRight w:val="0"/>
                                                                                  <w:marTop w:val="0"/>
                                                                                  <w:marBottom w:val="0"/>
                                                                                  <w:divBdr>
                                                                                    <w:top w:val="none" w:sz="0" w:space="0" w:color="auto"/>
                                                                                    <w:left w:val="none" w:sz="0" w:space="0" w:color="auto"/>
                                                                                    <w:bottom w:val="none" w:sz="0" w:space="0" w:color="auto"/>
                                                                                    <w:right w:val="none" w:sz="0" w:space="0" w:color="auto"/>
                                                                                  </w:divBdr>
                                                                                </w:div>
                                                                                <w:div w:id="551187509">
                                                                                  <w:marLeft w:val="0"/>
                                                                                  <w:marRight w:val="0"/>
                                                                                  <w:marTop w:val="0"/>
                                                                                  <w:marBottom w:val="0"/>
                                                                                  <w:divBdr>
                                                                                    <w:top w:val="none" w:sz="0" w:space="0" w:color="auto"/>
                                                                                    <w:left w:val="none" w:sz="0" w:space="0" w:color="auto"/>
                                                                                    <w:bottom w:val="none" w:sz="0" w:space="0" w:color="auto"/>
                                                                                    <w:right w:val="none" w:sz="0" w:space="0" w:color="auto"/>
                                                                                  </w:divBdr>
                                                                                </w:div>
                                                                              </w:divsChild>
                                                                            </w:div>
                                                                            <w:div w:id="4090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85850268">
      <w:bodyDiv w:val="1"/>
      <w:marLeft w:val="0"/>
      <w:marRight w:val="0"/>
      <w:marTop w:val="0"/>
      <w:marBottom w:val="0"/>
      <w:divBdr>
        <w:top w:val="none" w:sz="0" w:space="0" w:color="auto"/>
        <w:left w:val="none" w:sz="0" w:space="0" w:color="auto"/>
        <w:bottom w:val="none" w:sz="0" w:space="0" w:color="auto"/>
        <w:right w:val="none" w:sz="0" w:space="0" w:color="auto"/>
      </w:divBdr>
    </w:div>
    <w:div w:id="1497070059">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 w:id="1971207210">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2">
          <w:marLeft w:val="0"/>
          <w:marRight w:val="0"/>
          <w:marTop w:val="0"/>
          <w:marBottom w:val="0"/>
          <w:divBdr>
            <w:top w:val="none" w:sz="0" w:space="0" w:color="auto"/>
            <w:left w:val="none" w:sz="0" w:space="0" w:color="auto"/>
            <w:bottom w:val="none" w:sz="0" w:space="0" w:color="auto"/>
            <w:right w:val="none" w:sz="0" w:space="0" w:color="auto"/>
          </w:divBdr>
          <w:divsChild>
            <w:div w:id="775172779">
              <w:marLeft w:val="0"/>
              <w:marRight w:val="0"/>
              <w:marTop w:val="0"/>
              <w:marBottom w:val="0"/>
              <w:divBdr>
                <w:top w:val="none" w:sz="0" w:space="0" w:color="auto"/>
                <w:left w:val="none" w:sz="0" w:space="0" w:color="auto"/>
                <w:bottom w:val="none" w:sz="0" w:space="0" w:color="auto"/>
                <w:right w:val="none" w:sz="0" w:space="0" w:color="auto"/>
              </w:divBdr>
              <w:divsChild>
                <w:div w:id="1614088627">
                  <w:marLeft w:val="0"/>
                  <w:marRight w:val="0"/>
                  <w:marTop w:val="0"/>
                  <w:marBottom w:val="0"/>
                  <w:divBdr>
                    <w:top w:val="none" w:sz="0" w:space="0" w:color="auto"/>
                    <w:left w:val="none" w:sz="0" w:space="0" w:color="auto"/>
                    <w:bottom w:val="none" w:sz="0" w:space="0" w:color="auto"/>
                    <w:right w:val="none" w:sz="0" w:space="0" w:color="auto"/>
                  </w:divBdr>
                  <w:divsChild>
                    <w:div w:id="1334798426">
                      <w:marLeft w:val="0"/>
                      <w:marRight w:val="0"/>
                      <w:marTop w:val="0"/>
                      <w:marBottom w:val="0"/>
                      <w:divBdr>
                        <w:top w:val="none" w:sz="0" w:space="0" w:color="auto"/>
                        <w:left w:val="none" w:sz="0" w:space="0" w:color="auto"/>
                        <w:bottom w:val="none" w:sz="0" w:space="0" w:color="auto"/>
                        <w:right w:val="none" w:sz="0" w:space="0" w:color="auto"/>
                      </w:divBdr>
                      <w:divsChild>
                        <w:div w:id="1843206178">
                          <w:marLeft w:val="0"/>
                          <w:marRight w:val="0"/>
                          <w:marTop w:val="0"/>
                          <w:marBottom w:val="0"/>
                          <w:divBdr>
                            <w:top w:val="none" w:sz="0" w:space="0" w:color="auto"/>
                            <w:left w:val="none" w:sz="0" w:space="0" w:color="auto"/>
                            <w:bottom w:val="none" w:sz="0" w:space="0" w:color="auto"/>
                            <w:right w:val="none" w:sz="0" w:space="0" w:color="auto"/>
                          </w:divBdr>
                          <w:divsChild>
                            <w:div w:id="47531896">
                              <w:marLeft w:val="0"/>
                              <w:marRight w:val="0"/>
                              <w:marTop w:val="0"/>
                              <w:marBottom w:val="0"/>
                              <w:divBdr>
                                <w:top w:val="none" w:sz="0" w:space="0" w:color="auto"/>
                                <w:left w:val="none" w:sz="0" w:space="0" w:color="auto"/>
                                <w:bottom w:val="none" w:sz="0" w:space="0" w:color="auto"/>
                                <w:right w:val="none" w:sz="0" w:space="0" w:color="auto"/>
                              </w:divBdr>
                              <w:divsChild>
                                <w:div w:id="277300652">
                                  <w:marLeft w:val="0"/>
                                  <w:marRight w:val="0"/>
                                  <w:marTop w:val="0"/>
                                  <w:marBottom w:val="0"/>
                                  <w:divBdr>
                                    <w:top w:val="none" w:sz="0" w:space="0" w:color="auto"/>
                                    <w:left w:val="none" w:sz="0" w:space="0" w:color="auto"/>
                                    <w:bottom w:val="none" w:sz="0" w:space="0" w:color="auto"/>
                                    <w:right w:val="none" w:sz="0" w:space="0" w:color="auto"/>
                                  </w:divBdr>
                                  <w:divsChild>
                                    <w:div w:id="1213073732">
                                      <w:marLeft w:val="0"/>
                                      <w:marRight w:val="0"/>
                                      <w:marTop w:val="0"/>
                                      <w:marBottom w:val="0"/>
                                      <w:divBdr>
                                        <w:top w:val="none" w:sz="0" w:space="0" w:color="auto"/>
                                        <w:left w:val="none" w:sz="0" w:space="0" w:color="auto"/>
                                        <w:bottom w:val="none" w:sz="0" w:space="0" w:color="auto"/>
                                        <w:right w:val="none" w:sz="0" w:space="0" w:color="auto"/>
                                      </w:divBdr>
                                      <w:divsChild>
                                        <w:div w:id="1892577006">
                                          <w:marLeft w:val="0"/>
                                          <w:marRight w:val="0"/>
                                          <w:marTop w:val="0"/>
                                          <w:marBottom w:val="0"/>
                                          <w:divBdr>
                                            <w:top w:val="none" w:sz="0" w:space="0" w:color="auto"/>
                                            <w:left w:val="none" w:sz="0" w:space="0" w:color="auto"/>
                                            <w:bottom w:val="none" w:sz="0" w:space="0" w:color="auto"/>
                                            <w:right w:val="none" w:sz="0" w:space="0" w:color="auto"/>
                                          </w:divBdr>
                                          <w:divsChild>
                                            <w:div w:id="1312556659">
                                              <w:marLeft w:val="0"/>
                                              <w:marRight w:val="0"/>
                                              <w:marTop w:val="0"/>
                                              <w:marBottom w:val="0"/>
                                              <w:divBdr>
                                                <w:top w:val="none" w:sz="0" w:space="0" w:color="auto"/>
                                                <w:left w:val="none" w:sz="0" w:space="0" w:color="auto"/>
                                                <w:bottom w:val="none" w:sz="0" w:space="0" w:color="auto"/>
                                                <w:right w:val="none" w:sz="0" w:space="0" w:color="auto"/>
                                              </w:divBdr>
                                              <w:divsChild>
                                                <w:div w:id="1305890830">
                                                  <w:marLeft w:val="0"/>
                                                  <w:marRight w:val="0"/>
                                                  <w:marTop w:val="0"/>
                                                  <w:marBottom w:val="0"/>
                                                  <w:divBdr>
                                                    <w:top w:val="none" w:sz="0" w:space="0" w:color="auto"/>
                                                    <w:left w:val="none" w:sz="0" w:space="0" w:color="auto"/>
                                                    <w:bottom w:val="none" w:sz="0" w:space="0" w:color="auto"/>
                                                    <w:right w:val="none" w:sz="0" w:space="0" w:color="auto"/>
                                                  </w:divBdr>
                                                  <w:divsChild>
                                                    <w:div w:id="552037329">
                                                      <w:marLeft w:val="0"/>
                                                      <w:marRight w:val="0"/>
                                                      <w:marTop w:val="0"/>
                                                      <w:marBottom w:val="0"/>
                                                      <w:divBdr>
                                                        <w:top w:val="single" w:sz="12" w:space="0" w:color="ABABAB"/>
                                                        <w:left w:val="single" w:sz="6" w:space="0" w:color="ABABAB"/>
                                                        <w:bottom w:val="none" w:sz="0" w:space="0" w:color="auto"/>
                                                        <w:right w:val="single" w:sz="6" w:space="0" w:color="ABABAB"/>
                                                      </w:divBdr>
                                                      <w:divsChild>
                                                        <w:div w:id="833112463">
                                                          <w:marLeft w:val="0"/>
                                                          <w:marRight w:val="0"/>
                                                          <w:marTop w:val="0"/>
                                                          <w:marBottom w:val="0"/>
                                                          <w:divBdr>
                                                            <w:top w:val="none" w:sz="0" w:space="0" w:color="auto"/>
                                                            <w:left w:val="none" w:sz="0" w:space="0" w:color="auto"/>
                                                            <w:bottom w:val="none" w:sz="0" w:space="0" w:color="auto"/>
                                                            <w:right w:val="none" w:sz="0" w:space="0" w:color="auto"/>
                                                          </w:divBdr>
                                                          <w:divsChild>
                                                            <w:div w:id="233854520">
                                                              <w:marLeft w:val="0"/>
                                                              <w:marRight w:val="0"/>
                                                              <w:marTop w:val="0"/>
                                                              <w:marBottom w:val="0"/>
                                                              <w:divBdr>
                                                                <w:top w:val="none" w:sz="0" w:space="0" w:color="auto"/>
                                                                <w:left w:val="none" w:sz="0" w:space="0" w:color="auto"/>
                                                                <w:bottom w:val="none" w:sz="0" w:space="0" w:color="auto"/>
                                                                <w:right w:val="none" w:sz="0" w:space="0" w:color="auto"/>
                                                              </w:divBdr>
                                                              <w:divsChild>
                                                                <w:div w:id="713698361">
                                                                  <w:marLeft w:val="0"/>
                                                                  <w:marRight w:val="0"/>
                                                                  <w:marTop w:val="0"/>
                                                                  <w:marBottom w:val="0"/>
                                                                  <w:divBdr>
                                                                    <w:top w:val="none" w:sz="0" w:space="0" w:color="auto"/>
                                                                    <w:left w:val="none" w:sz="0" w:space="0" w:color="auto"/>
                                                                    <w:bottom w:val="none" w:sz="0" w:space="0" w:color="auto"/>
                                                                    <w:right w:val="none" w:sz="0" w:space="0" w:color="auto"/>
                                                                  </w:divBdr>
                                                                  <w:divsChild>
                                                                    <w:div w:id="60446941">
                                                                      <w:marLeft w:val="0"/>
                                                                      <w:marRight w:val="0"/>
                                                                      <w:marTop w:val="0"/>
                                                                      <w:marBottom w:val="0"/>
                                                                      <w:divBdr>
                                                                        <w:top w:val="none" w:sz="0" w:space="0" w:color="auto"/>
                                                                        <w:left w:val="none" w:sz="0" w:space="0" w:color="auto"/>
                                                                        <w:bottom w:val="none" w:sz="0" w:space="0" w:color="auto"/>
                                                                        <w:right w:val="none" w:sz="0" w:space="0" w:color="auto"/>
                                                                      </w:divBdr>
                                                                      <w:divsChild>
                                                                        <w:div w:id="1671519822">
                                                                          <w:marLeft w:val="0"/>
                                                                          <w:marRight w:val="0"/>
                                                                          <w:marTop w:val="0"/>
                                                                          <w:marBottom w:val="0"/>
                                                                          <w:divBdr>
                                                                            <w:top w:val="none" w:sz="0" w:space="0" w:color="auto"/>
                                                                            <w:left w:val="none" w:sz="0" w:space="0" w:color="auto"/>
                                                                            <w:bottom w:val="none" w:sz="0" w:space="0" w:color="auto"/>
                                                                            <w:right w:val="none" w:sz="0" w:space="0" w:color="auto"/>
                                                                          </w:divBdr>
                                                                          <w:divsChild>
                                                                            <w:div w:id="829950158">
                                                                              <w:marLeft w:val="0"/>
                                                                              <w:marRight w:val="0"/>
                                                                              <w:marTop w:val="0"/>
                                                                              <w:marBottom w:val="0"/>
                                                                              <w:divBdr>
                                                                                <w:top w:val="none" w:sz="0" w:space="0" w:color="auto"/>
                                                                                <w:left w:val="none" w:sz="0" w:space="0" w:color="auto"/>
                                                                                <w:bottom w:val="none" w:sz="0" w:space="0" w:color="auto"/>
                                                                                <w:right w:val="none" w:sz="0" w:space="0" w:color="auto"/>
                                                                              </w:divBdr>
                                                                              <w:divsChild>
                                                                                <w:div w:id="6371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consultations/local-government-finance-settlement-2019-to-2020-technical-consul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heiser@local.gov.uk" TargetMode="External"/><Relationship Id="rId5" Type="http://schemas.openxmlformats.org/officeDocument/2006/relationships/numbering" Target="numbering.xml"/><Relationship Id="rId15" Type="http://schemas.openxmlformats.org/officeDocument/2006/relationships/hyperlink" Target="https://www.gov.uk/government/consultations/local-government-finance-settlement-2019-to-2020-technical-consult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86213a0b-e389-4119-a47c-a2230ed388e4" xsi:nil="true"/>
    <Work_x0020_Area xmlns="86213a0b-e389-4119-a47c-a2230ed388e4" xsi:nil="true"/>
    <Meeting_x0020_date xmlns="86213a0b-e389-4119-a47c-a2230ed388e4" xsi:nil="true"/>
    <Document_x0020_Type xmlns="ddd5460c-fd9a-4b2f-9b0a-4d83386095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9DC0FAEAE97479CE6DDE020C818CB" ma:contentTypeVersion="22" ma:contentTypeDescription="Create a new document." ma:contentTypeScope="" ma:versionID="509ddc148b342f18ab3656e85a8822dc">
  <xsd:schema xmlns:xsd="http://www.w3.org/2001/XMLSchema" xmlns:xs="http://www.w3.org/2001/XMLSchema" xmlns:p="http://schemas.microsoft.com/office/2006/metadata/properties" xmlns:ns2="ddd5460c-fd9a-4b2f-9b0a-4d83386095b6" xmlns:ns3="86213a0b-e389-4119-a47c-a2230ed388e4" targetNamespace="http://schemas.microsoft.com/office/2006/metadata/properties" ma:root="true" ma:fieldsID="9da193b75d219524d5051fa75a553977" ns2:_="" ns3:_="">
    <xsd:import namespace="ddd5460c-fd9a-4b2f-9b0a-4d83386095b6"/>
    <xsd:import namespace="86213a0b-e389-4119-a47c-a2230ed388e4"/>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86213a0b-e389-4119-a47c-a2230ed388e4"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microsoft.com/office/2006/metadata/properties"/>
    <ds:schemaRef ds:uri="http://purl.org/dc/terms/"/>
    <ds:schemaRef ds:uri="http://schemas.microsoft.com/office/infopath/2007/PartnerControls"/>
    <ds:schemaRef ds:uri="http://purl.org/dc/dcmitype/"/>
    <ds:schemaRef ds:uri="86213a0b-e389-4119-a47c-a2230ed388e4"/>
    <ds:schemaRef ds:uri="ddd5460c-fd9a-4b2f-9b0a-4d83386095b6"/>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1882C464-4514-4570-BC22-DD50F2045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86213a0b-e389-4119-a47c-a2230ed38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C744E-AC1D-46BE-8751-39F27407882C}">
  <ds:schemaRefs>
    <ds:schemaRef ds:uri="http://schemas.microsoft.com/sharepoint/v3/contenttype/forms"/>
  </ds:schemaRefs>
</ds:datastoreItem>
</file>

<file path=customXml/itemProps4.xml><?xml version="1.0" encoding="utf-8"?>
<ds:datastoreItem xmlns:ds="http://schemas.openxmlformats.org/officeDocument/2006/customXml" ds:itemID="{892FBEDA-83FB-47E0-9DB7-EFA38CAE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DA285BDD</Template>
  <TotalTime>12</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10</cp:revision>
  <dcterms:created xsi:type="dcterms:W3CDTF">2018-08-30T19:43:00Z</dcterms:created>
  <dcterms:modified xsi:type="dcterms:W3CDTF">2018-09-05T15:42:00Z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0x010100A7E9DC0FAEAE97479CE6DDE020C818CB</vt:lpwstr>
  </property>
  <property fmtid="{D5CDD505-2E9C-101B-9397-08002B2CF9AE}" pid="3" name="LGA Template">
    <vt:lpwstr>Template</vt:lpwstr>
  </property>
  <property fmtid="{D5CDD505-2E9C-101B-9397-08002B2CF9AE}" pid="4" name="Order">
    <vt:r8>100</vt:r8>
  </property>
</Properties>
</file>